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r>
        <w:rPr>
          <w:rFonts w:hint="eastAsia" w:ascii="方正小标宋简体" w:hAnsi="宋体" w:eastAsia="方正小标宋简体"/>
          <w:color w:val="auto"/>
          <w:sz w:val="72"/>
          <w:szCs w:val="72"/>
          <w:highlight w:val="none"/>
          <w:lang w:val="en-US" w:eastAsia="zh-CN"/>
        </w:rPr>
        <w:t xml:space="preserve"> </w:t>
      </w: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78441"/>
      <w:bookmarkStart w:id="4" w:name="_Toc15377193"/>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476"/>
      <w:bookmarkStart w:id="7" w:name="_Toc15377426"/>
      <w:bookmarkStart w:id="8" w:name="_Toc15378442"/>
      <w:bookmarkStart w:id="9" w:name="_Toc15396598"/>
      <w:bookmarkStart w:id="10" w:name="_Toc15377194"/>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内江开放大学</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bookmarkStart w:id="67" w:name="_GoBack"/>
      <w:bookmarkEnd w:id="67"/>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 xml:space="preserve">                                                     </w:t>
      </w:r>
    </w:p>
    <w:p>
      <w:pPr>
        <w:pStyle w:val="12"/>
        <w:adjustRightInd w:val="0"/>
        <w:snapToGrid w:val="0"/>
        <w:spacing w:line="440" w:lineRule="exact"/>
        <w:jc w:val="left"/>
        <w:rPr>
          <w:rFonts w:hint="default"/>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 xml:space="preserve">                                      </w:t>
      </w:r>
    </w:p>
    <w:p>
      <w:pPr>
        <w:pStyle w:val="12"/>
        <w:tabs>
          <w:tab w:val="left" w:pos="630"/>
        </w:tabs>
        <w:adjustRightInd w:val="0"/>
        <w:snapToGrid w:val="0"/>
        <w:spacing w:line="440" w:lineRule="exact"/>
        <w:jc w:val="left"/>
        <w:rPr>
          <w:rFonts w:hint="default"/>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 xml:space="preserve">三、机构设置                                                     </w:t>
      </w:r>
    </w:p>
    <w:p>
      <w:pPr>
        <w:pStyle w:val="11"/>
        <w:adjustRightInd w:val="0"/>
        <w:snapToGrid w:val="0"/>
        <w:spacing w:before="0" w:line="440" w:lineRule="exact"/>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 xml:space="preserve">                                 </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12"/>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7"/>
          <w:rFonts w:hint="eastAsia" w:ascii="黑体" w:hAnsi="黑体" w:eastAsia="黑体"/>
          <w:b w:val="0"/>
          <w:bCs w:val="0"/>
          <w:color w:val="auto"/>
          <w:highlight w:val="none"/>
          <w:lang w:eastAsia="zh-CN"/>
        </w:rPr>
      </w:pPr>
      <w:bookmarkStart w:id="14" w:name="_Toc15396600"/>
      <w:bookmarkStart w:id="15" w:name="_Toc15377197"/>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内江开放大学</w:t>
      </w:r>
      <w:r>
        <w:rPr>
          <w:rFonts w:hint="eastAsia" w:ascii="方正仿宋简体" w:hAnsi="Times New Roman" w:eastAsia="方正仿宋简体" w:cs="Times New Roman"/>
          <w:sz w:val="32"/>
          <w:szCs w:val="32"/>
        </w:rPr>
        <w:t>是内江市教育局主管从事公益服务的公益二类事业单位，挂牌成立内江市教师培训中心和内江社区大学。主要承担全市开放教育业务，开展本专科成人学历教育、高等职业教育、中职教育；开展网络本科教育和在职研究生教育；负责全市各类学校教职工业务培训和继续教育及</w:t>
      </w:r>
      <w:r>
        <w:rPr>
          <w:rFonts w:ascii="方正仿宋简体" w:hAnsi="Times New Roman" w:eastAsia="方正仿宋简体" w:cs="Times New Roman"/>
          <w:sz w:val="32"/>
          <w:szCs w:val="32"/>
        </w:rPr>
        <w:t>全市各行业人员的普通话培训和等级测试工作</w:t>
      </w:r>
      <w:r>
        <w:rPr>
          <w:rFonts w:hint="eastAsia" w:ascii="方正仿宋简体" w:hAnsi="Times New Roman" w:eastAsia="方正仿宋简体" w:cs="Times New Roman"/>
          <w:sz w:val="32"/>
          <w:szCs w:val="32"/>
        </w:rPr>
        <w:t>；</w:t>
      </w:r>
      <w:r>
        <w:rPr>
          <w:rFonts w:hint="eastAsia" w:ascii="方正仿宋简体" w:eastAsia="方正仿宋简体" w:cs="Times New Roman"/>
          <w:sz w:val="32"/>
          <w:szCs w:val="32"/>
          <w:lang w:eastAsia="zh-CN"/>
        </w:rPr>
        <w:t>职业技能等级认定；</w:t>
      </w:r>
      <w:r>
        <w:rPr>
          <w:rFonts w:hint="eastAsia" w:ascii="方正仿宋简体" w:hAnsi="Times New Roman" w:eastAsia="方正仿宋简体" w:cs="Times New Roman"/>
          <w:sz w:val="32"/>
          <w:szCs w:val="32"/>
        </w:rPr>
        <w:t>负责</w:t>
      </w:r>
      <w:r>
        <w:rPr>
          <w:rFonts w:ascii="方正仿宋简体" w:hAnsi="Times New Roman" w:eastAsia="方正仿宋简体" w:cs="Times New Roman"/>
          <w:sz w:val="32"/>
          <w:szCs w:val="32"/>
        </w:rPr>
        <w:t>全市社区教育工作</w:t>
      </w:r>
      <w:r>
        <w:rPr>
          <w:rFonts w:hint="eastAsia" w:ascii="方正仿宋简体" w:hAnsi="Times New Roman" w:eastAsia="方正仿宋简体" w:cs="Times New Roman"/>
          <w:sz w:val="32"/>
          <w:szCs w:val="32"/>
        </w:rPr>
        <w:t>；编辑、出版、发行《语文课内外》杂志等职责。</w:t>
      </w:r>
    </w:p>
    <w:p>
      <w:pPr>
        <w:numPr>
          <w:ilvl w:val="0"/>
          <w:numId w:val="0"/>
        </w:numPr>
        <w:rPr>
          <w:rFonts w:hint="eastAsia"/>
        </w:rPr>
      </w:pPr>
    </w:p>
    <w:p>
      <w:pPr>
        <w:pStyle w:val="4"/>
        <w:numPr>
          <w:ilvl w:val="0"/>
          <w:numId w:val="0"/>
        </w:numPr>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ind w:left="560"/>
        <w:rPr>
          <w:rFonts w:ascii="仿宋_GB2312" w:eastAsia="仿宋_GB2312"/>
          <w:b/>
          <w:color w:val="333333"/>
          <w:sz w:val="32"/>
          <w:szCs w:val="32"/>
        </w:rPr>
      </w:pPr>
      <w:r>
        <w:rPr>
          <w:rFonts w:hint="eastAsia" w:ascii="仿宋_GB2312" w:eastAsia="仿宋_GB2312"/>
          <w:b/>
          <w:color w:val="333333"/>
          <w:sz w:val="32"/>
          <w:szCs w:val="32"/>
          <w:lang w:val="en-US" w:eastAsia="zh-CN"/>
        </w:rPr>
        <w:t>1.</w:t>
      </w:r>
      <w:r>
        <w:rPr>
          <w:rFonts w:hint="eastAsia" w:ascii="仿宋_GB2312" w:eastAsia="仿宋_GB2312"/>
          <w:b/>
          <w:color w:val="333333"/>
          <w:sz w:val="32"/>
          <w:szCs w:val="32"/>
        </w:rPr>
        <w:t>加强党的建设，为内江电大转型发展提供坚强政治保证</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1</w:t>
      </w:r>
      <w:r>
        <w:rPr>
          <w:rFonts w:hint="eastAsia" w:ascii="仿宋_GB2312" w:eastAsia="仿宋_GB2312"/>
          <w:color w:val="333333"/>
          <w:sz w:val="32"/>
          <w:szCs w:val="32"/>
          <w:lang w:eastAsia="zh-CN"/>
        </w:rPr>
        <w:t>）</w:t>
      </w:r>
      <w:r>
        <w:rPr>
          <w:rFonts w:hint="eastAsia" w:ascii="仿宋_GB2312" w:eastAsia="仿宋_GB2312"/>
          <w:color w:val="333333"/>
          <w:sz w:val="32"/>
          <w:szCs w:val="32"/>
        </w:rPr>
        <w:t>扎实开展党史学习教育。</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2</w:t>
      </w:r>
      <w:r>
        <w:rPr>
          <w:rFonts w:hint="eastAsia" w:ascii="仿宋_GB2312" w:eastAsia="仿宋_GB2312"/>
          <w:color w:val="333333"/>
          <w:sz w:val="32"/>
          <w:szCs w:val="32"/>
          <w:lang w:eastAsia="zh-CN"/>
        </w:rPr>
        <w:t>）</w:t>
      </w:r>
      <w:r>
        <w:rPr>
          <w:rFonts w:hint="eastAsia" w:ascii="仿宋_GB2312" w:eastAsia="仿宋_GB2312"/>
          <w:color w:val="333333"/>
          <w:sz w:val="32"/>
          <w:szCs w:val="32"/>
        </w:rPr>
        <w:t>举办庆祝中国共产党成立100周年主题系列活动。</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3</w:t>
      </w:r>
      <w:r>
        <w:rPr>
          <w:rFonts w:hint="eastAsia" w:ascii="仿宋_GB2312" w:eastAsia="仿宋_GB2312"/>
          <w:color w:val="333333"/>
          <w:sz w:val="32"/>
          <w:szCs w:val="32"/>
          <w:lang w:eastAsia="zh-CN"/>
        </w:rPr>
        <w:t>）推进全面从严治党，加强党风廉政建设</w:t>
      </w:r>
      <w:r>
        <w:rPr>
          <w:rFonts w:hint="eastAsia" w:ascii="仿宋_GB2312" w:eastAsia="仿宋_GB2312"/>
          <w:color w:val="333333"/>
          <w:sz w:val="32"/>
          <w:szCs w:val="32"/>
        </w:rPr>
        <w:t>。</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4</w:t>
      </w:r>
      <w:r>
        <w:rPr>
          <w:rFonts w:hint="eastAsia" w:ascii="仿宋_GB2312" w:eastAsia="仿宋_GB2312"/>
          <w:color w:val="333333"/>
          <w:sz w:val="32"/>
          <w:szCs w:val="32"/>
          <w:lang w:eastAsia="zh-CN"/>
        </w:rPr>
        <w:t>）</w:t>
      </w:r>
      <w:r>
        <w:rPr>
          <w:rFonts w:hint="eastAsia" w:ascii="仿宋_GB2312" w:eastAsia="仿宋_GB2312"/>
          <w:color w:val="333333"/>
          <w:sz w:val="32"/>
          <w:szCs w:val="32"/>
        </w:rPr>
        <w:t>进一步加强思想政治和意识形态工作。全面落实立德树人根本任务，加强思政理论课实践教学基地建设，推动课程思政与思政课程同向同行。落实意识形态工作责任制。　　</w:t>
      </w:r>
    </w:p>
    <w:p>
      <w:pPr>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lang w:val="en-US" w:eastAsia="zh-CN"/>
        </w:rPr>
        <w:t>2.</w:t>
      </w:r>
      <w:r>
        <w:rPr>
          <w:rFonts w:hint="eastAsia" w:ascii="仿宋_GB2312" w:eastAsia="仿宋_GB2312"/>
          <w:b/>
          <w:color w:val="333333"/>
          <w:sz w:val="32"/>
          <w:szCs w:val="32"/>
        </w:rPr>
        <w:t>推进电大转型更名</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5</w:t>
      </w:r>
      <w:r>
        <w:rPr>
          <w:rFonts w:hint="eastAsia" w:ascii="仿宋_GB2312" w:eastAsia="仿宋_GB2312"/>
          <w:color w:val="333333"/>
          <w:sz w:val="32"/>
          <w:szCs w:val="32"/>
          <w:lang w:eastAsia="zh-CN"/>
        </w:rPr>
        <w:t>）</w:t>
      </w:r>
      <w:r>
        <w:rPr>
          <w:rFonts w:hint="eastAsia" w:ascii="仿宋_GB2312" w:eastAsia="仿宋_GB2312"/>
          <w:color w:val="333333"/>
          <w:sz w:val="32"/>
          <w:szCs w:val="32"/>
        </w:rPr>
        <w:t>做好学校和县级电大更名工作。</w:t>
      </w:r>
    </w:p>
    <w:p>
      <w:pPr>
        <w:ind w:firstLine="643" w:firstLineChars="200"/>
        <w:rPr>
          <w:rFonts w:ascii="仿宋_GB2312" w:eastAsia="仿宋_GB2312"/>
          <w:b/>
          <w:color w:val="333333"/>
          <w:sz w:val="32"/>
          <w:szCs w:val="32"/>
        </w:rPr>
      </w:pPr>
      <w:r>
        <w:rPr>
          <w:rFonts w:hint="eastAsia" w:ascii="仿宋_GB2312" w:eastAsia="仿宋_GB2312"/>
          <w:b/>
          <w:color w:val="333333"/>
          <w:sz w:val="32"/>
          <w:szCs w:val="32"/>
          <w:lang w:val="en-US" w:eastAsia="zh-CN"/>
        </w:rPr>
        <w:t>3.</w:t>
      </w:r>
      <w:r>
        <w:rPr>
          <w:rFonts w:hint="eastAsia" w:ascii="仿宋_GB2312" w:eastAsia="仿宋_GB2312"/>
          <w:b/>
          <w:color w:val="333333"/>
          <w:sz w:val="32"/>
          <w:szCs w:val="32"/>
        </w:rPr>
        <w:t>以评促建，不断提高办学水平</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6</w:t>
      </w:r>
      <w:r>
        <w:rPr>
          <w:rFonts w:hint="eastAsia" w:ascii="仿宋_GB2312" w:eastAsia="仿宋_GB2312"/>
          <w:color w:val="333333"/>
          <w:sz w:val="32"/>
          <w:szCs w:val="32"/>
          <w:lang w:eastAsia="zh-CN"/>
        </w:rPr>
        <w:t>）</w:t>
      </w:r>
      <w:r>
        <w:rPr>
          <w:rFonts w:hint="eastAsia" w:ascii="仿宋_GB2312" w:eastAsia="仿宋_GB2312"/>
          <w:color w:val="333333"/>
          <w:sz w:val="32"/>
          <w:szCs w:val="32"/>
        </w:rPr>
        <w:t>认真做好办学评估准备工作。</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7</w:t>
      </w:r>
      <w:r>
        <w:rPr>
          <w:rFonts w:hint="eastAsia" w:ascii="仿宋_GB2312" w:eastAsia="仿宋_GB2312"/>
          <w:color w:val="333333"/>
          <w:sz w:val="32"/>
          <w:szCs w:val="32"/>
          <w:lang w:eastAsia="zh-CN"/>
        </w:rPr>
        <w:t>）</w:t>
      </w:r>
      <w:r>
        <w:rPr>
          <w:rFonts w:hint="eastAsia" w:ascii="仿宋_GB2312" w:eastAsia="仿宋_GB2312"/>
          <w:color w:val="333333"/>
          <w:sz w:val="32"/>
          <w:szCs w:val="32"/>
        </w:rPr>
        <w:t>进一步深化教育教学改革。加强专业建设和网络教学团队建设，加强过程管理和结果考评。深化实践教学环节改革，提高本科毕业生学位获取率。</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lang w:eastAsia="zh-CN"/>
        </w:rPr>
        <w:t>）</w:t>
      </w:r>
      <w:r>
        <w:rPr>
          <w:rFonts w:hint="eastAsia" w:ascii="仿宋_GB2312" w:eastAsia="仿宋_GB2312"/>
          <w:color w:val="333333"/>
          <w:sz w:val="32"/>
          <w:szCs w:val="32"/>
        </w:rPr>
        <w:t>不断提升科研工作水平。</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9</w:t>
      </w:r>
      <w:r>
        <w:rPr>
          <w:rFonts w:hint="eastAsia" w:ascii="仿宋_GB2312" w:eastAsia="仿宋_GB2312"/>
          <w:color w:val="333333"/>
          <w:sz w:val="32"/>
          <w:szCs w:val="32"/>
          <w:lang w:eastAsia="zh-CN"/>
        </w:rPr>
        <w:t>）</w:t>
      </w:r>
      <w:r>
        <w:rPr>
          <w:rFonts w:hint="eastAsia" w:ascii="仿宋_GB2312" w:eastAsia="仿宋_GB2312"/>
          <w:color w:val="333333"/>
          <w:sz w:val="32"/>
          <w:szCs w:val="32"/>
        </w:rPr>
        <w:t>加快推进信息化建设。推进国家、省、市、县四级办学系统信息资源共享，进一步提高教育教学服务支持能力。　　　　</w:t>
      </w:r>
    </w:p>
    <w:p>
      <w:pPr>
        <w:ind w:firstLine="643" w:firstLineChars="200"/>
        <w:rPr>
          <w:rFonts w:ascii="仿宋_GB2312" w:eastAsia="仿宋_GB2312"/>
          <w:b/>
          <w:color w:val="333333"/>
          <w:sz w:val="32"/>
          <w:szCs w:val="32"/>
        </w:rPr>
      </w:pPr>
      <w:r>
        <w:rPr>
          <w:rFonts w:hint="eastAsia" w:ascii="仿宋_GB2312" w:eastAsia="仿宋_GB2312"/>
          <w:b/>
          <w:color w:val="333333"/>
          <w:sz w:val="32"/>
          <w:szCs w:val="32"/>
          <w:lang w:val="en-US" w:eastAsia="zh-CN"/>
        </w:rPr>
        <w:t>4.</w:t>
      </w:r>
      <w:r>
        <w:rPr>
          <w:rFonts w:hint="eastAsia" w:ascii="仿宋_GB2312" w:eastAsia="仿宋_GB2312"/>
          <w:b/>
          <w:color w:val="333333"/>
          <w:sz w:val="32"/>
          <w:szCs w:val="32"/>
        </w:rPr>
        <w:t>大力拓展非学历教育</w:t>
      </w:r>
    </w:p>
    <w:p>
      <w:pPr>
        <w:ind w:firstLine="640" w:firstLineChars="200"/>
        <w:rPr>
          <w:rFonts w:hint="eastAsia"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10</w:t>
      </w:r>
      <w:r>
        <w:rPr>
          <w:rFonts w:hint="eastAsia" w:ascii="仿宋_GB2312" w:eastAsia="仿宋_GB2312"/>
          <w:color w:val="333333"/>
          <w:sz w:val="32"/>
          <w:szCs w:val="32"/>
          <w:lang w:eastAsia="zh-CN"/>
        </w:rPr>
        <w:t>）</w:t>
      </w:r>
      <w:r>
        <w:rPr>
          <w:rFonts w:hint="eastAsia" w:ascii="仿宋_GB2312" w:eastAsia="仿宋_GB2312"/>
          <w:color w:val="333333"/>
          <w:sz w:val="32"/>
          <w:szCs w:val="32"/>
        </w:rPr>
        <w:t>积极开展社区教育。</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11</w:t>
      </w:r>
      <w:r>
        <w:rPr>
          <w:rFonts w:hint="eastAsia" w:ascii="仿宋_GB2312" w:eastAsia="仿宋_GB2312"/>
          <w:color w:val="333333"/>
          <w:sz w:val="32"/>
          <w:szCs w:val="32"/>
          <w:lang w:eastAsia="zh-CN"/>
        </w:rPr>
        <w:t>）</w:t>
      </w:r>
      <w:r>
        <w:rPr>
          <w:rFonts w:hint="eastAsia" w:ascii="仿宋_GB2312" w:eastAsia="仿宋_GB2312"/>
          <w:color w:val="333333"/>
          <w:sz w:val="32"/>
          <w:szCs w:val="32"/>
        </w:rPr>
        <w:t>深入推进教师培训。组织中小学教师参加“国培计划”、省级培训和市级培训。</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12</w:t>
      </w:r>
      <w:r>
        <w:rPr>
          <w:rFonts w:hint="eastAsia" w:ascii="仿宋_GB2312" w:eastAsia="仿宋_GB2312"/>
          <w:color w:val="333333"/>
          <w:sz w:val="32"/>
          <w:szCs w:val="32"/>
          <w:lang w:eastAsia="zh-CN"/>
        </w:rPr>
        <w:t>）</w:t>
      </w:r>
      <w:r>
        <w:rPr>
          <w:rFonts w:hint="eastAsia" w:ascii="仿宋_GB2312" w:eastAsia="仿宋_GB2312"/>
          <w:color w:val="333333"/>
          <w:sz w:val="32"/>
          <w:szCs w:val="32"/>
        </w:rPr>
        <w:t>开展普通话培训。</w:t>
      </w:r>
    </w:p>
    <w:p>
      <w:pPr>
        <w:ind w:firstLine="643" w:firstLineChars="200"/>
        <w:rPr>
          <w:rFonts w:ascii="仿宋_GB2312" w:eastAsia="仿宋_GB2312"/>
          <w:b/>
          <w:color w:val="333333"/>
          <w:sz w:val="32"/>
          <w:szCs w:val="32"/>
        </w:rPr>
      </w:pPr>
      <w:r>
        <w:rPr>
          <w:rFonts w:hint="eastAsia" w:ascii="仿宋_GB2312" w:eastAsia="仿宋_GB2312"/>
          <w:b/>
          <w:color w:val="333333"/>
          <w:sz w:val="32"/>
          <w:szCs w:val="32"/>
          <w:lang w:val="en-US" w:eastAsia="zh-CN"/>
        </w:rPr>
        <w:t>5.</w:t>
      </w:r>
      <w:r>
        <w:rPr>
          <w:rFonts w:hint="eastAsia" w:ascii="仿宋_GB2312" w:eastAsia="仿宋_GB2312"/>
          <w:b/>
          <w:color w:val="333333"/>
          <w:sz w:val="32"/>
          <w:szCs w:val="32"/>
        </w:rPr>
        <w:t>加强综合管理，不断提升学校治理效能</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13</w:t>
      </w:r>
      <w:r>
        <w:rPr>
          <w:rFonts w:hint="eastAsia" w:ascii="仿宋_GB2312" w:eastAsia="仿宋_GB2312"/>
          <w:color w:val="333333"/>
          <w:sz w:val="32"/>
          <w:szCs w:val="32"/>
          <w:lang w:eastAsia="zh-CN"/>
        </w:rPr>
        <w:t>）</w:t>
      </w:r>
      <w:r>
        <w:rPr>
          <w:rFonts w:hint="eastAsia" w:ascii="仿宋_GB2312" w:eastAsia="仿宋_GB2312"/>
          <w:color w:val="333333"/>
          <w:sz w:val="32"/>
          <w:szCs w:val="32"/>
        </w:rPr>
        <w:t xml:space="preserve"> 继续做好常态化疫情防控工作。</w:t>
      </w:r>
    </w:p>
    <w:p>
      <w:pPr>
        <w:ind w:firstLine="640" w:firstLineChars="20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14</w:t>
      </w:r>
      <w:r>
        <w:rPr>
          <w:rFonts w:hint="eastAsia" w:ascii="仿宋_GB2312" w:eastAsia="仿宋_GB2312"/>
          <w:color w:val="333333"/>
          <w:sz w:val="32"/>
          <w:szCs w:val="32"/>
          <w:lang w:eastAsia="zh-CN"/>
        </w:rPr>
        <w:t>）</w:t>
      </w:r>
      <w:r>
        <w:rPr>
          <w:rFonts w:hint="eastAsia" w:ascii="仿宋_GB2312" w:eastAsia="仿宋_GB2312"/>
          <w:color w:val="333333"/>
          <w:sz w:val="32"/>
          <w:szCs w:val="32"/>
        </w:rPr>
        <w:t>不断加强校园文化建设。　　　　</w:t>
      </w:r>
    </w:p>
    <w:p>
      <w:pPr>
        <w:ind w:firstLine="640" w:firstLineChars="200"/>
        <w:rPr>
          <w:rFonts w:hint="eastAsia"/>
          <w:lang w:eastAsia="zh-CN"/>
        </w:rPr>
      </w:pPr>
      <w:r>
        <w:rPr>
          <w:rFonts w:hint="eastAsia" w:ascii="仿宋_GB2312" w:eastAsia="仿宋_GB2312"/>
          <w:color w:val="333333"/>
          <w:sz w:val="32"/>
          <w:szCs w:val="32"/>
          <w:lang w:eastAsia="zh-CN"/>
        </w:rPr>
        <w:t>（</w:t>
      </w:r>
      <w:r>
        <w:rPr>
          <w:rFonts w:hint="eastAsia" w:ascii="仿宋_GB2312" w:eastAsia="仿宋_GB2312"/>
          <w:color w:val="333333"/>
          <w:sz w:val="32"/>
          <w:szCs w:val="32"/>
          <w:lang w:val="en-US" w:eastAsia="zh-CN"/>
        </w:rPr>
        <w:t>15</w:t>
      </w:r>
      <w:r>
        <w:rPr>
          <w:rFonts w:hint="eastAsia" w:ascii="仿宋_GB2312" w:eastAsia="仿宋_GB2312"/>
          <w:color w:val="333333"/>
          <w:sz w:val="32"/>
          <w:szCs w:val="32"/>
          <w:lang w:eastAsia="zh-CN"/>
        </w:rPr>
        <w:t>）</w:t>
      </w:r>
      <w:r>
        <w:rPr>
          <w:rFonts w:hint="eastAsia" w:ascii="仿宋_GB2312" w:eastAsia="仿宋_GB2312"/>
          <w:color w:val="333333"/>
          <w:sz w:val="32"/>
          <w:szCs w:val="32"/>
        </w:rPr>
        <w:t>进一步深化校园治理。全面推进依法治校、依法治教。加强校园安全管理，切实维护校园安全稳定。</w:t>
      </w:r>
    </w:p>
    <w:p>
      <w:pPr>
        <w:rPr>
          <w:rFonts w:hint="eastAsia"/>
          <w:lang w:eastAsia="zh-CN"/>
        </w:rPr>
      </w:pPr>
    </w:p>
    <w:p>
      <w:pPr>
        <w:pStyle w:val="6"/>
        <w:numPr>
          <w:ilvl w:val="0"/>
          <w:numId w:val="2"/>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机构设置</w:t>
      </w:r>
    </w:p>
    <w:p>
      <w:pPr>
        <w:pStyle w:val="6"/>
        <w:numPr>
          <w:ilvl w:val="0"/>
          <w:numId w:val="0"/>
        </w:numPr>
        <w:ind w:firstLine="6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内江开放大学是财政</w:t>
      </w:r>
      <w:r>
        <w:rPr>
          <w:rFonts w:hint="eastAsia" w:ascii="Times New Roman" w:eastAsia="仿宋" w:cs="Times New Roman"/>
          <w:color w:val="000000"/>
          <w:kern w:val="2"/>
          <w:sz w:val="32"/>
          <w:szCs w:val="32"/>
          <w:lang w:val="en-US" w:eastAsia="zh-CN" w:bidi="ar-SA"/>
        </w:rPr>
        <w:t>保障</w:t>
      </w:r>
      <w:r>
        <w:rPr>
          <w:rFonts w:hint="eastAsia" w:ascii="Times New Roman" w:hAnsi="Times New Roman" w:eastAsia="仿宋" w:cs="Times New Roman"/>
          <w:color w:val="000000"/>
          <w:kern w:val="2"/>
          <w:sz w:val="32"/>
          <w:szCs w:val="32"/>
          <w:lang w:val="en-US" w:eastAsia="zh-CN" w:bidi="ar-SA"/>
        </w:rPr>
        <w:t>事业单位。内设办公室、教务处、直属部、终身教育处（职教中心）、招生办公室、电教信息中心、教学处、总务处、教师培训部等</w:t>
      </w:r>
      <w:r>
        <w:rPr>
          <w:rFonts w:hint="eastAsia" w:ascii="Times New Roman" w:eastAsia="仿宋" w:cs="Times New Roman"/>
          <w:color w:val="000000"/>
          <w:kern w:val="2"/>
          <w:sz w:val="32"/>
          <w:szCs w:val="32"/>
          <w:lang w:val="en-US" w:eastAsia="zh-CN" w:bidi="ar-SA"/>
        </w:rPr>
        <w:t>9</w:t>
      </w:r>
      <w:r>
        <w:rPr>
          <w:rFonts w:hint="eastAsia" w:ascii="Times New Roman" w:hAnsi="Times New Roman" w:eastAsia="仿宋" w:cs="Times New Roman"/>
          <w:color w:val="000000"/>
          <w:kern w:val="2"/>
          <w:sz w:val="32"/>
          <w:szCs w:val="32"/>
          <w:lang w:val="en-US" w:eastAsia="zh-CN" w:bidi="ar-SA"/>
        </w:rPr>
        <w:t>个处室</w:t>
      </w:r>
      <w:r>
        <w:rPr>
          <w:rFonts w:hint="eastAsia" w:ascii="Times New Roman" w:eastAsia="仿宋" w:cs="Times New Roman"/>
          <w:color w:val="000000"/>
          <w:kern w:val="2"/>
          <w:sz w:val="32"/>
          <w:szCs w:val="32"/>
          <w:lang w:val="en-US" w:eastAsia="zh-CN" w:bidi="ar-SA"/>
        </w:rPr>
        <w:t>、《语文课内外》杂志社。</w:t>
      </w:r>
    </w:p>
    <w:p>
      <w:pPr>
        <w:pStyle w:val="3"/>
        <w:ind w:right="440"/>
        <w:jc w:val="center"/>
        <w:rPr>
          <w:rStyle w:val="2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rPr>
          <w:color w:val="auto"/>
          <w:highlight w:val="none"/>
        </w:rPr>
      </w:pPr>
    </w:p>
    <w:p>
      <w:pPr>
        <w:pStyle w:val="25"/>
        <w:numPr>
          <w:ilvl w:val="0"/>
          <w:numId w:val="3"/>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000000"/>
          <w:sz w:val="32"/>
          <w:szCs w:val="32"/>
          <w:lang w:eastAsia="zh-CN"/>
        </w:rPr>
        <w:t>度</w:t>
      </w:r>
      <w:r>
        <w:rPr>
          <w:rFonts w:hint="default" w:ascii="Times New Roman" w:hAnsi="Times New Roman" w:eastAsia="仿宋" w:cs="Times New Roman"/>
          <w:color w:val="000000"/>
          <w:sz w:val="32"/>
          <w:szCs w:val="32"/>
        </w:rPr>
        <w:t>收入</w:t>
      </w:r>
      <w:r>
        <w:rPr>
          <w:rFonts w:hint="default" w:ascii="Times New Roman" w:hAnsi="Times New Roman" w:eastAsia="仿宋" w:cs="Times New Roman"/>
          <w:color w:val="000000"/>
          <w:sz w:val="32"/>
          <w:szCs w:val="32"/>
          <w:lang w:eastAsia="zh-CN"/>
        </w:rPr>
        <w:t>总计</w:t>
      </w:r>
      <w:r>
        <w:rPr>
          <w:rFonts w:hint="eastAsia" w:eastAsia="仿宋" w:cs="Times New Roman"/>
          <w:color w:val="000000"/>
          <w:sz w:val="32"/>
          <w:szCs w:val="32"/>
          <w:lang w:val="en-US" w:eastAsia="zh-CN"/>
        </w:rPr>
        <w:t>956.27</w:t>
      </w:r>
      <w:r>
        <w:rPr>
          <w:rFonts w:hint="default" w:ascii="Times New Roman" w:hAnsi="Times New Roman" w:eastAsia="仿宋" w:cs="Times New Roman"/>
          <w:color w:val="000000"/>
          <w:sz w:val="32"/>
          <w:szCs w:val="32"/>
        </w:rPr>
        <w:t>万元，与20</w:t>
      </w:r>
      <w:r>
        <w:rPr>
          <w:rFonts w:hint="eastAsia"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w:t>
      </w:r>
      <w:r>
        <w:rPr>
          <w:rFonts w:hint="eastAsia" w:eastAsia="仿宋" w:cs="Times New Roman"/>
          <w:color w:val="000000"/>
          <w:sz w:val="32"/>
          <w:szCs w:val="32"/>
          <w:lang w:eastAsia="zh-CN"/>
        </w:rPr>
        <w:t>增加</w:t>
      </w:r>
      <w:r>
        <w:rPr>
          <w:rFonts w:hint="eastAsia" w:eastAsia="仿宋" w:cs="Times New Roman"/>
          <w:color w:val="000000"/>
          <w:sz w:val="32"/>
          <w:szCs w:val="32"/>
          <w:lang w:val="en-US" w:eastAsia="zh-CN"/>
        </w:rPr>
        <w:t>79.44</w:t>
      </w:r>
      <w:r>
        <w:rPr>
          <w:rFonts w:hint="default" w:ascii="Times New Roman" w:hAnsi="Times New Roman" w:eastAsia="仿宋" w:cs="Times New Roman"/>
          <w:color w:val="000000"/>
          <w:sz w:val="32"/>
          <w:szCs w:val="32"/>
          <w:lang w:val="en-US" w:eastAsia="zh-CN"/>
        </w:rPr>
        <w:t>万元，</w:t>
      </w:r>
      <w:r>
        <w:rPr>
          <w:rFonts w:hint="eastAsia" w:eastAsia="仿宋" w:cs="Times New Roman"/>
          <w:color w:val="000000"/>
          <w:sz w:val="32"/>
          <w:szCs w:val="32"/>
          <w:lang w:val="en-US" w:eastAsia="zh-CN"/>
        </w:rPr>
        <w:t>增长9.06</w:t>
      </w:r>
      <w:r>
        <w:rPr>
          <w:rFonts w:hint="default" w:ascii="Times New Roman" w:hAnsi="Times New Roman" w:eastAsia="仿宋" w:cs="Times New Roman"/>
          <w:color w:val="000000"/>
          <w:sz w:val="32"/>
          <w:szCs w:val="32"/>
        </w:rPr>
        <w:t>%，主要原因是</w:t>
      </w:r>
      <w:r>
        <w:rPr>
          <w:rFonts w:hint="eastAsia" w:eastAsia="仿宋" w:cs="Times New Roman"/>
          <w:color w:val="000000"/>
          <w:sz w:val="32"/>
          <w:szCs w:val="32"/>
          <w:lang w:eastAsia="zh-CN"/>
        </w:rPr>
        <w:t>学校边坡垮塌应急抢险维修</w:t>
      </w:r>
      <w:r>
        <w:rPr>
          <w:rFonts w:hint="default" w:ascii="Times New Roman" w:hAnsi="Times New Roman" w:eastAsia="仿宋" w:cs="Times New Roman"/>
          <w:color w:val="000000"/>
          <w:sz w:val="32"/>
          <w:szCs w:val="32"/>
        </w:rPr>
        <w:t>，相应经费</w:t>
      </w:r>
      <w:r>
        <w:rPr>
          <w:rFonts w:hint="eastAsia" w:eastAsia="仿宋" w:cs="Times New Roman"/>
          <w:color w:val="000000"/>
          <w:sz w:val="32"/>
          <w:szCs w:val="32"/>
          <w:lang w:eastAsia="zh-CN"/>
        </w:rPr>
        <w:t>增长</w:t>
      </w:r>
      <w:r>
        <w:rPr>
          <w:rFonts w:hint="default" w:ascii="Times New Roman" w:hAnsi="Times New Roman" w:eastAsia="仿宋" w:cs="Times New Roman"/>
          <w:color w:val="000000"/>
          <w:sz w:val="32"/>
          <w:szCs w:val="32"/>
        </w:rPr>
        <w:t>。</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eastAsia="zh-CN"/>
        </w:rPr>
        <w:t>度</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eastAsia="zh-CN"/>
        </w:rPr>
        <w:t>总计</w:t>
      </w:r>
      <w:r>
        <w:rPr>
          <w:rFonts w:hint="eastAsia" w:eastAsia="仿宋" w:cs="Times New Roman"/>
          <w:color w:val="000000"/>
          <w:sz w:val="32"/>
          <w:szCs w:val="32"/>
          <w:lang w:val="en-US" w:eastAsia="zh-CN"/>
        </w:rPr>
        <w:t>956.27</w:t>
      </w:r>
      <w:r>
        <w:rPr>
          <w:rFonts w:hint="default" w:ascii="Times New Roman" w:hAnsi="Times New Roman" w:eastAsia="仿宋" w:cs="Times New Roman"/>
          <w:color w:val="000000"/>
          <w:sz w:val="32"/>
          <w:szCs w:val="32"/>
        </w:rPr>
        <w:t>万元，与20</w:t>
      </w:r>
      <w:r>
        <w:rPr>
          <w:rFonts w:hint="eastAsia"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w:t>
      </w:r>
      <w:r>
        <w:rPr>
          <w:rFonts w:hint="default" w:ascii="Times New Roman" w:hAnsi="Times New Roman" w:eastAsia="仿宋" w:cs="Times New Roman"/>
          <w:color w:val="000000"/>
          <w:sz w:val="32"/>
          <w:szCs w:val="32"/>
          <w:lang w:eastAsia="zh-CN"/>
        </w:rPr>
        <w:t>减少</w:t>
      </w:r>
      <w:r>
        <w:rPr>
          <w:rFonts w:hint="eastAsia" w:eastAsia="仿宋" w:cs="Times New Roman"/>
          <w:color w:val="000000"/>
          <w:sz w:val="32"/>
          <w:szCs w:val="32"/>
          <w:lang w:val="en-US" w:eastAsia="zh-CN"/>
        </w:rPr>
        <w:t>79.44</w:t>
      </w:r>
      <w:r>
        <w:rPr>
          <w:rFonts w:hint="default" w:ascii="Times New Roman" w:hAnsi="Times New Roman" w:eastAsia="仿宋" w:cs="Times New Roman"/>
          <w:color w:val="000000"/>
          <w:sz w:val="32"/>
          <w:szCs w:val="32"/>
          <w:lang w:val="en-US" w:eastAsia="zh-CN"/>
        </w:rPr>
        <w:t>万元，</w:t>
      </w:r>
      <w:r>
        <w:rPr>
          <w:rFonts w:hint="eastAsia" w:eastAsia="仿宋" w:cs="Times New Roman"/>
          <w:color w:val="000000"/>
          <w:sz w:val="32"/>
          <w:szCs w:val="32"/>
          <w:lang w:val="en-US" w:eastAsia="zh-CN"/>
        </w:rPr>
        <w:t>增长9.06</w:t>
      </w:r>
      <w:r>
        <w:rPr>
          <w:rFonts w:hint="default" w:ascii="Times New Roman" w:hAnsi="Times New Roman" w:eastAsia="仿宋" w:cs="Times New Roman"/>
          <w:color w:val="000000"/>
          <w:sz w:val="32"/>
          <w:szCs w:val="32"/>
        </w:rPr>
        <w:t>%，主要原因是</w:t>
      </w:r>
      <w:r>
        <w:rPr>
          <w:rFonts w:hint="eastAsia" w:eastAsia="仿宋" w:cs="Times New Roman"/>
          <w:color w:val="000000"/>
          <w:sz w:val="32"/>
          <w:szCs w:val="32"/>
          <w:lang w:eastAsia="zh-CN"/>
        </w:rPr>
        <w:t>学校边坡垮塌应急抢险维修</w:t>
      </w:r>
      <w:r>
        <w:rPr>
          <w:rFonts w:hint="default" w:ascii="Times New Roman" w:hAnsi="Times New Roman" w:eastAsia="仿宋" w:cs="Times New Roman"/>
          <w:color w:val="000000"/>
          <w:sz w:val="32"/>
          <w:szCs w:val="32"/>
        </w:rPr>
        <w:t>，相应经费</w:t>
      </w:r>
      <w:r>
        <w:rPr>
          <w:rFonts w:hint="eastAsia" w:eastAsia="仿宋" w:cs="Times New Roman"/>
          <w:color w:val="000000"/>
          <w:sz w:val="32"/>
          <w:szCs w:val="32"/>
          <w:lang w:eastAsia="zh-CN"/>
        </w:rPr>
        <w:t>增长</w:t>
      </w:r>
      <w:r>
        <w:rPr>
          <w:rFonts w:hint="default" w:ascii="Times New Roman" w:hAnsi="Times New Roman" w:eastAsia="仿宋" w:cs="Times New Roman"/>
          <w:color w:val="000000"/>
          <w:sz w:val="32"/>
          <w:szCs w:val="32"/>
        </w:rPr>
        <w:t>。</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p>
    <w:p>
      <w:pPr>
        <w:pStyle w:val="6"/>
        <w:numPr>
          <w:ilvl w:val="0"/>
          <w:numId w:val="0"/>
        </w:numPr>
        <w:rPr>
          <w:rFonts w:hint="eastAsia" w:ascii="黑体" w:hAnsi="黑体" w:eastAsia="黑体"/>
          <w:b w:val="0"/>
          <w:color w:val="auto"/>
          <w:highlight w:val="yellow"/>
          <w:lang w:val="en-US" w:eastAsia="zh-CN"/>
        </w:rPr>
      </w:pPr>
      <w:r>
        <w:rPr>
          <w:rStyle w:val="27"/>
          <w:rFonts w:hint="default" w:ascii="Times New Roman" w:hAnsi="Times New Roman" w:eastAsia="仿宋" w:cs="Times New Roman"/>
          <w:b w:val="0"/>
          <w:sz w:val="32"/>
          <w:szCs w:val="32"/>
          <w:lang w:eastAsia="zh-CN"/>
        </w:rPr>
        <w:drawing>
          <wp:anchor distT="0" distB="0" distL="114300" distR="114300" simplePos="0" relativeHeight="251660288" behindDoc="0" locked="0" layoutInCell="1" allowOverlap="1">
            <wp:simplePos x="0" y="0"/>
            <wp:positionH relativeFrom="column">
              <wp:posOffset>385445</wp:posOffset>
            </wp:positionH>
            <wp:positionV relativeFrom="page">
              <wp:posOffset>7506335</wp:posOffset>
            </wp:positionV>
            <wp:extent cx="4861560" cy="2479040"/>
            <wp:effectExtent l="4445" t="4445" r="10795" b="1206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jc w:val="left"/>
        <w:rPr>
          <w:rFonts w:ascii="仿宋" w:hAnsi="仿宋" w:eastAsia="仿宋"/>
          <w:color w:val="auto"/>
          <w:sz w:val="32"/>
          <w:szCs w:val="32"/>
          <w:highlight w:val="none"/>
        </w:rPr>
      </w:pPr>
      <w:r>
        <w:rPr>
          <w:rStyle w:val="27"/>
          <w:rFonts w:hint="default" w:ascii="Times New Roman" w:hAnsi="Times New Roman" w:eastAsia="仿宋" w:cs="Times New Roman"/>
          <w:b w:val="0"/>
          <w:color w:val="C0504D" w:themeColor="accent2"/>
          <w:sz w:val="32"/>
          <w:szCs w:val="32"/>
          <w:lang w:eastAsia="zh-CN"/>
          <w14:textFill>
            <w14:solidFill>
              <w14:schemeClr w14:val="accent2"/>
            </w14:solidFill>
          </w14:textFill>
        </w:rPr>
        <w:drawing>
          <wp:anchor distT="0" distB="0" distL="114300" distR="114300" simplePos="0" relativeHeight="251659264" behindDoc="0" locked="0" layoutInCell="1" allowOverlap="1">
            <wp:simplePos x="0" y="0"/>
            <wp:positionH relativeFrom="column">
              <wp:posOffset>216535</wp:posOffset>
            </wp:positionH>
            <wp:positionV relativeFrom="page">
              <wp:posOffset>899795</wp:posOffset>
            </wp:positionV>
            <wp:extent cx="4890135" cy="2274570"/>
            <wp:effectExtent l="4445" t="4445" r="20320" b="698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5"/>
        <w:numPr>
          <w:ilvl w:val="0"/>
          <w:numId w:val="3"/>
        </w:numPr>
        <w:spacing w:line="600" w:lineRule="exact"/>
        <w:ind w:firstLineChars="0"/>
        <w:outlineLvl w:val="1"/>
        <w:rPr>
          <w:rStyle w:val="27"/>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pStyle w:val="25"/>
        <w:numPr>
          <w:ilvl w:val="0"/>
          <w:numId w:val="0"/>
        </w:numPr>
        <w:spacing w:line="600" w:lineRule="exact"/>
        <w:ind w:left="640" w:leftChars="0"/>
        <w:outlineLvl w:val="1"/>
        <w:rPr>
          <w:rStyle w:val="27"/>
          <w:rFonts w:ascii="黑体" w:hAnsi="黑体" w:eastAsia="黑体"/>
          <w:b w:val="0"/>
          <w:color w:val="auto"/>
          <w:highlight w:val="none"/>
        </w:rPr>
      </w:pPr>
    </w:p>
    <w:p>
      <w:pPr>
        <w:spacing w:line="600" w:lineRule="exact"/>
        <w:ind w:firstLine="640" w:firstLineChars="200"/>
        <w:outlineLvl w:val="9"/>
        <w:rPr>
          <w:rFonts w:hint="default" w:ascii="Times New Roman" w:hAnsi="Times New Roman" w:eastAsia="仿宋" w:cs="Times New Roman"/>
          <w:color w:val="000000"/>
          <w:sz w:val="32"/>
          <w:szCs w:val="32"/>
          <w:lang w:val="en-US" w:eastAsia="zh-CN"/>
        </w:rPr>
      </w:pPr>
      <w:bookmarkStart w:id="22" w:name="_Toc14442"/>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年本年收入合计</w:t>
      </w:r>
      <w:r>
        <w:rPr>
          <w:rFonts w:hint="eastAsia" w:eastAsia="仿宋" w:cs="Times New Roman"/>
          <w:color w:val="000000"/>
          <w:sz w:val="32"/>
          <w:szCs w:val="32"/>
          <w:lang w:val="en-US" w:eastAsia="zh-CN"/>
        </w:rPr>
        <w:t>956.27</w:t>
      </w:r>
      <w:r>
        <w:rPr>
          <w:rFonts w:hint="default" w:ascii="Times New Roman" w:hAnsi="Times New Roman" w:eastAsia="仿宋" w:cs="Times New Roman"/>
          <w:color w:val="000000"/>
          <w:sz w:val="32"/>
          <w:szCs w:val="32"/>
        </w:rPr>
        <w:t>万元，其中：一般公共预算财政拨款收入</w:t>
      </w:r>
      <w:r>
        <w:rPr>
          <w:rFonts w:hint="eastAsia" w:eastAsia="仿宋" w:cs="Times New Roman"/>
          <w:color w:val="000000"/>
          <w:sz w:val="32"/>
          <w:szCs w:val="32"/>
          <w:lang w:val="en-US" w:eastAsia="zh-CN"/>
        </w:rPr>
        <w:t>598.56</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 xml:space="preserve">62.59 </w:t>
      </w:r>
      <w:r>
        <w:rPr>
          <w:rFonts w:hint="default" w:ascii="Times New Roman" w:hAnsi="Times New Roman" w:eastAsia="仿宋" w:cs="Times New Roman"/>
          <w:color w:val="000000"/>
          <w:sz w:val="32"/>
          <w:szCs w:val="32"/>
        </w:rPr>
        <w:t>%；事业收入</w:t>
      </w:r>
      <w:r>
        <w:rPr>
          <w:rFonts w:hint="eastAsia" w:eastAsia="仿宋" w:cs="Times New Roman"/>
          <w:color w:val="000000"/>
          <w:sz w:val="32"/>
          <w:szCs w:val="32"/>
          <w:lang w:val="en-US" w:eastAsia="zh-CN"/>
        </w:rPr>
        <w:t>356.51</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37.28</w:t>
      </w:r>
      <w:r>
        <w:rPr>
          <w:rFonts w:hint="default" w:ascii="Times New Roman" w:hAnsi="Times New Roman" w:eastAsia="仿宋" w:cs="Times New Roman"/>
          <w:color w:val="000000"/>
          <w:sz w:val="32"/>
          <w:szCs w:val="32"/>
        </w:rPr>
        <w:t>%</w:t>
      </w:r>
      <w:bookmarkEnd w:id="22"/>
      <w:r>
        <w:rPr>
          <w:rFonts w:hint="default" w:ascii="Times New Roman" w:hAnsi="Times New Roman" w:eastAsia="仿宋" w:cs="Times New Roman"/>
          <w:color w:val="000000"/>
          <w:sz w:val="32"/>
          <w:szCs w:val="32"/>
          <w:lang w:val="en-US" w:eastAsia="zh-CN"/>
        </w:rPr>
        <w:t>;其他收入</w:t>
      </w:r>
      <w:r>
        <w:rPr>
          <w:rFonts w:hint="eastAsia" w:eastAsia="仿宋" w:cs="Times New Roman"/>
          <w:color w:val="000000"/>
          <w:sz w:val="32"/>
          <w:szCs w:val="32"/>
          <w:lang w:val="en-US" w:eastAsia="zh-CN"/>
        </w:rPr>
        <w:t>1.20</w:t>
      </w:r>
      <w:r>
        <w:rPr>
          <w:rFonts w:hint="default" w:ascii="Times New Roman" w:hAnsi="Times New Roman" w:eastAsia="仿宋" w:cs="Times New Roman"/>
          <w:color w:val="000000"/>
          <w:sz w:val="32"/>
          <w:szCs w:val="32"/>
          <w:lang w:val="en-US" w:eastAsia="zh-CN"/>
        </w:rPr>
        <w:t>万元，占</w:t>
      </w:r>
      <w:r>
        <w:rPr>
          <w:rFonts w:hint="eastAsia" w:eastAsia="仿宋" w:cs="Times New Roman"/>
          <w:color w:val="000000"/>
          <w:sz w:val="32"/>
          <w:szCs w:val="32"/>
          <w:lang w:val="en-US" w:eastAsia="zh-CN"/>
        </w:rPr>
        <w:t>0.13</w:t>
      </w:r>
      <w:r>
        <w:rPr>
          <w:rFonts w:hint="default" w:ascii="Times New Roman" w:hAnsi="Times New Roman" w:eastAsia="仿宋" w:cs="Times New Roman"/>
          <w:color w:val="000000"/>
          <w:sz w:val="32"/>
          <w:szCs w:val="32"/>
          <w:lang w:val="en-US" w:eastAsia="zh-CN"/>
        </w:rPr>
        <w:t>%。</w:t>
      </w:r>
    </w:p>
    <w:p>
      <w:pPr>
        <w:spacing w:line="600" w:lineRule="exact"/>
        <w:ind w:firstLine="640" w:firstLineChars="200"/>
        <w:outlineLvl w:val="9"/>
        <w:rPr>
          <w:rFonts w:hint="default" w:ascii="Times New Roman" w:hAnsi="Times New Roman" w:eastAsia="仿宋" w:cs="Times New Roman"/>
          <w:color w:val="000000"/>
          <w:sz w:val="32"/>
          <w:szCs w:val="32"/>
          <w:lang w:eastAsia="zh-CN"/>
        </w:rPr>
      </w:pPr>
    </w:p>
    <w:p>
      <w:pPr>
        <w:pStyle w:val="2"/>
        <w:ind w:left="0" w:leftChars="0" w:firstLine="0" w:firstLineChars="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4899660" cy="2485390"/>
            <wp:effectExtent l="4445" t="4445" r="1079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outlineLvl w:val="1"/>
        <w:rPr>
          <w:rFonts w:ascii="仿宋" w:hAnsi="仿宋" w:eastAsia="仿宋"/>
          <w:color w:val="auto"/>
          <w:sz w:val="32"/>
          <w:szCs w:val="32"/>
          <w:highlight w:val="none"/>
        </w:rPr>
      </w:pPr>
    </w:p>
    <w:p>
      <w:pPr>
        <w:spacing w:line="600" w:lineRule="exact"/>
      </w:pPr>
    </w:p>
    <w:p>
      <w:pPr>
        <w:pStyle w:val="2"/>
      </w:pPr>
    </w:p>
    <w:p>
      <w:pPr>
        <w:pStyle w:val="25"/>
        <w:numPr>
          <w:ilvl w:val="0"/>
          <w:numId w:val="3"/>
        </w:numPr>
        <w:spacing w:line="600" w:lineRule="exact"/>
        <w:ind w:firstLineChars="0"/>
        <w:outlineLvl w:val="1"/>
        <w:rPr>
          <w:rStyle w:val="27"/>
          <w:rFonts w:ascii="黑体" w:hAnsi="黑体" w:eastAsia="黑体"/>
          <w:b w:val="0"/>
          <w:color w:val="auto"/>
          <w:highlight w:val="none"/>
        </w:rPr>
      </w:pPr>
      <w:bookmarkStart w:id="23" w:name="_Toc15377207"/>
      <w:bookmarkStart w:id="24"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3"/>
      <w:bookmarkEnd w:id="2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b/>
          <w:color w:val="auto"/>
          <w:sz w:val="32"/>
          <w:szCs w:val="32"/>
          <w:highlight w:val="none"/>
          <w:lang w:eastAsia="zh-CN"/>
        </w:rPr>
      </w:pPr>
      <w:bookmarkStart w:id="25" w:name="_Toc7494"/>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年本年支出合计</w:t>
      </w:r>
      <w:r>
        <w:rPr>
          <w:rFonts w:hint="eastAsia" w:eastAsia="仿宋" w:cs="Times New Roman"/>
          <w:color w:val="000000"/>
          <w:sz w:val="32"/>
          <w:szCs w:val="32"/>
          <w:lang w:val="en-US" w:eastAsia="zh-CN"/>
        </w:rPr>
        <w:t>956.27</w:t>
      </w:r>
      <w:r>
        <w:rPr>
          <w:rFonts w:hint="default" w:ascii="Times New Roman" w:hAnsi="Times New Roman" w:eastAsia="仿宋" w:cs="Times New Roman"/>
          <w:color w:val="000000"/>
          <w:sz w:val="32"/>
          <w:szCs w:val="32"/>
        </w:rPr>
        <w:t>万元，其中：基本支出</w:t>
      </w:r>
      <w:r>
        <w:rPr>
          <w:rFonts w:hint="eastAsia" w:eastAsia="仿宋" w:cs="Times New Roman"/>
          <w:color w:val="000000"/>
          <w:sz w:val="32"/>
          <w:szCs w:val="32"/>
          <w:lang w:val="en-US" w:eastAsia="zh-CN"/>
        </w:rPr>
        <w:t>956.27</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bookmarkEnd w:id="25"/>
      <w:r>
        <w:rPr>
          <w:rFonts w:hint="eastAsia" w:eastAsia="仿宋" w:cs="Times New Roman"/>
          <w:color w:val="000000"/>
          <w:sz w:val="32"/>
          <w:szCs w:val="32"/>
          <w:lang w:eastAsia="zh-CN"/>
        </w:rPr>
        <w:t>。</w:t>
      </w:r>
    </w:p>
    <w:p>
      <w:pPr>
        <w:spacing w:line="600" w:lineRule="exact"/>
        <w:ind w:firstLine="640"/>
        <w:rPr>
          <w:rFonts w:hint="default" w:ascii="仿宋_GB2312" w:eastAsia="仿宋_GB2312"/>
          <w:color w:val="auto"/>
          <w:sz w:val="32"/>
          <w:szCs w:val="32"/>
          <w:highlight w:val="none"/>
          <w:lang w:val="en-US" w:eastAsia="zh-CN"/>
        </w:rPr>
      </w:pPr>
      <w:r>
        <w:rPr>
          <w:rFonts w:hint="default" w:ascii="Times New Roman" w:hAnsi="Times New Roman" w:eastAsia="仿宋" w:cs="Times New Roman"/>
          <w:color w:val="000000"/>
          <w:sz w:val="32"/>
          <w:szCs w:val="32"/>
          <w:lang w:eastAsia="zh-CN"/>
        </w:rPr>
        <w:drawing>
          <wp:anchor distT="0" distB="0" distL="114300" distR="114300" simplePos="0" relativeHeight="251661312" behindDoc="0" locked="0" layoutInCell="1" allowOverlap="1">
            <wp:simplePos x="0" y="0"/>
            <wp:positionH relativeFrom="column">
              <wp:posOffset>223520</wp:posOffset>
            </wp:positionH>
            <wp:positionV relativeFrom="paragraph">
              <wp:posOffset>362585</wp:posOffset>
            </wp:positionV>
            <wp:extent cx="5080000" cy="1786890"/>
            <wp:effectExtent l="4445" t="4445" r="20955"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olor w:val="auto"/>
          <w:sz w:val="32"/>
          <w:szCs w:val="32"/>
          <w:highlight w:val="none"/>
          <w:lang w:val="en-US" w:eastAsia="zh-CN"/>
        </w:rPr>
        <w:t xml:space="preserve">  </w:t>
      </w:r>
    </w:p>
    <w:p>
      <w:pPr>
        <w:spacing w:line="600" w:lineRule="exact"/>
        <w:ind w:firstLine="640" w:firstLineChars="200"/>
        <w:outlineLvl w:val="1"/>
        <w:rPr>
          <w:rStyle w:val="27"/>
          <w:rFonts w:ascii="黑体" w:hAnsi="黑体" w:eastAsia="黑体"/>
          <w:b w:val="0"/>
          <w:color w:val="auto"/>
          <w:highlight w:val="none"/>
        </w:rPr>
      </w:pPr>
      <w:bookmarkStart w:id="26" w:name="_Toc15396606"/>
      <w:bookmarkStart w:id="27"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6"/>
      <w:bookmarkEnd w:id="2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年度财政拨款收入总计</w:t>
      </w:r>
      <w:r>
        <w:rPr>
          <w:rFonts w:hint="eastAsia" w:eastAsia="仿宋" w:cs="Times New Roman"/>
          <w:color w:val="000000"/>
          <w:sz w:val="32"/>
          <w:szCs w:val="32"/>
          <w:lang w:val="en-US" w:eastAsia="zh-CN"/>
        </w:rPr>
        <w:t>598.56</w:t>
      </w:r>
      <w:r>
        <w:rPr>
          <w:rFonts w:hint="default" w:ascii="Times New Roman" w:hAnsi="Times New Roman" w:eastAsia="仿宋" w:cs="Times New Roman"/>
          <w:color w:val="000000"/>
          <w:sz w:val="32"/>
          <w:szCs w:val="32"/>
        </w:rPr>
        <w:t>万元，与20</w:t>
      </w:r>
      <w:r>
        <w:rPr>
          <w:rFonts w:hint="eastAsia"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年相比，财政拨款收</w:t>
      </w:r>
      <w:r>
        <w:rPr>
          <w:rFonts w:hint="default" w:ascii="Times New Roman" w:hAnsi="Times New Roman" w:eastAsia="仿宋" w:cs="Times New Roman"/>
          <w:color w:val="000000"/>
          <w:sz w:val="32"/>
          <w:szCs w:val="32"/>
          <w:lang w:eastAsia="zh-CN"/>
        </w:rPr>
        <w:t>入</w:t>
      </w:r>
      <w:r>
        <w:rPr>
          <w:rFonts w:hint="eastAsia" w:eastAsia="仿宋" w:cs="Times New Roman"/>
          <w:color w:val="000000"/>
          <w:sz w:val="32"/>
          <w:szCs w:val="32"/>
          <w:lang w:eastAsia="zh-CN"/>
        </w:rPr>
        <w:t>增加</w:t>
      </w:r>
      <w:r>
        <w:rPr>
          <w:rFonts w:hint="eastAsia" w:eastAsia="仿宋" w:cs="Times New Roman"/>
          <w:color w:val="000000"/>
          <w:sz w:val="32"/>
          <w:szCs w:val="32"/>
          <w:lang w:val="en-US" w:eastAsia="zh-CN"/>
        </w:rPr>
        <w:t>76.58</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eastAsia" w:eastAsia="仿宋" w:cs="Times New Roman"/>
          <w:color w:val="000000"/>
          <w:sz w:val="32"/>
          <w:szCs w:val="32"/>
          <w:lang w:eastAsia="zh-CN"/>
        </w:rPr>
        <w:t>增长</w:t>
      </w:r>
      <w:r>
        <w:rPr>
          <w:rFonts w:hint="eastAsia" w:eastAsia="仿宋" w:cs="Times New Roman"/>
          <w:color w:val="000000"/>
          <w:sz w:val="32"/>
          <w:szCs w:val="32"/>
          <w:lang w:val="en-US" w:eastAsia="zh-CN"/>
        </w:rPr>
        <w:t>14.67</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。主要原因是</w:t>
      </w:r>
      <w:r>
        <w:rPr>
          <w:rFonts w:hint="eastAsia" w:eastAsia="仿宋" w:cs="Times New Roman"/>
          <w:color w:val="000000"/>
          <w:sz w:val="32"/>
          <w:szCs w:val="32"/>
          <w:lang w:eastAsia="zh-CN"/>
        </w:rPr>
        <w:t>人员增加</w:t>
      </w:r>
      <w:r>
        <w:rPr>
          <w:rFonts w:hint="default" w:ascii="Times New Roman" w:hAnsi="Times New Roman" w:eastAsia="仿宋" w:cs="Times New Roman"/>
          <w:color w:val="000000"/>
          <w:sz w:val="32"/>
          <w:szCs w:val="32"/>
        </w:rPr>
        <w:t>，经费相应</w:t>
      </w:r>
      <w:r>
        <w:rPr>
          <w:rFonts w:hint="eastAsia" w:eastAsia="仿宋" w:cs="Times New Roman"/>
          <w:color w:val="000000"/>
          <w:sz w:val="32"/>
          <w:szCs w:val="32"/>
          <w:lang w:eastAsia="zh-CN"/>
        </w:rPr>
        <w:t>增长</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202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lang w:val="en-US" w:eastAsia="zh-CN"/>
        </w:rPr>
        <w:t>财政拨款</w:t>
      </w:r>
      <w:r>
        <w:rPr>
          <w:rFonts w:hint="default" w:ascii="Times New Roman" w:hAnsi="Times New Roman" w:eastAsia="仿宋" w:cs="Times New Roman"/>
          <w:color w:val="000000"/>
          <w:sz w:val="32"/>
          <w:szCs w:val="32"/>
        </w:rPr>
        <w:t>支出总计</w:t>
      </w:r>
      <w:r>
        <w:rPr>
          <w:rFonts w:hint="eastAsia" w:eastAsia="仿宋" w:cs="Times New Roman"/>
          <w:color w:val="000000"/>
          <w:sz w:val="32"/>
          <w:szCs w:val="32"/>
          <w:lang w:val="en-US" w:eastAsia="zh-CN"/>
        </w:rPr>
        <w:t>598.56</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与</w:t>
      </w:r>
      <w:r>
        <w:rPr>
          <w:rFonts w:hint="eastAsia" w:eastAsia="仿宋" w:cs="Times New Roman"/>
          <w:color w:val="000000"/>
          <w:sz w:val="32"/>
          <w:szCs w:val="32"/>
          <w:lang w:val="en-US" w:eastAsia="zh-CN"/>
        </w:rPr>
        <w:t>2020</w:t>
      </w:r>
      <w:r>
        <w:rPr>
          <w:rFonts w:hint="default" w:ascii="Times New Roman" w:hAnsi="Times New Roman" w:eastAsia="仿宋" w:cs="Times New Roman"/>
          <w:color w:val="000000"/>
          <w:sz w:val="32"/>
          <w:szCs w:val="32"/>
          <w:lang w:val="en-US" w:eastAsia="zh-CN"/>
        </w:rPr>
        <w:t>年相比，</w:t>
      </w:r>
      <w:r>
        <w:rPr>
          <w:rFonts w:hint="default" w:ascii="Times New Roman" w:hAnsi="Times New Roman" w:eastAsia="仿宋" w:cs="Times New Roman"/>
          <w:color w:val="000000"/>
          <w:sz w:val="32"/>
          <w:szCs w:val="32"/>
        </w:rPr>
        <w:t>财政拨款收</w:t>
      </w:r>
      <w:r>
        <w:rPr>
          <w:rFonts w:hint="default" w:ascii="Times New Roman" w:hAnsi="Times New Roman" w:eastAsia="仿宋" w:cs="Times New Roman"/>
          <w:color w:val="000000"/>
          <w:sz w:val="32"/>
          <w:szCs w:val="32"/>
          <w:lang w:eastAsia="zh-CN"/>
        </w:rPr>
        <w:t>入</w:t>
      </w:r>
      <w:r>
        <w:rPr>
          <w:rFonts w:hint="eastAsia" w:eastAsia="仿宋" w:cs="Times New Roman"/>
          <w:color w:val="000000"/>
          <w:sz w:val="32"/>
          <w:szCs w:val="32"/>
          <w:lang w:eastAsia="zh-CN"/>
        </w:rPr>
        <w:t>增加</w:t>
      </w:r>
      <w:r>
        <w:rPr>
          <w:rFonts w:hint="eastAsia" w:eastAsia="仿宋" w:cs="Times New Roman"/>
          <w:color w:val="000000"/>
          <w:sz w:val="32"/>
          <w:szCs w:val="32"/>
          <w:lang w:val="en-US" w:eastAsia="zh-CN"/>
        </w:rPr>
        <w:t>76.58</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eastAsia" w:eastAsia="仿宋" w:cs="Times New Roman"/>
          <w:color w:val="000000"/>
          <w:sz w:val="32"/>
          <w:szCs w:val="32"/>
          <w:lang w:eastAsia="zh-CN"/>
        </w:rPr>
        <w:t>增长</w:t>
      </w:r>
      <w:r>
        <w:rPr>
          <w:rFonts w:hint="eastAsia" w:eastAsia="仿宋" w:cs="Times New Roman"/>
          <w:color w:val="000000"/>
          <w:sz w:val="32"/>
          <w:szCs w:val="32"/>
          <w:lang w:val="en-US" w:eastAsia="zh-CN"/>
        </w:rPr>
        <w:t>14.67</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。主要原因是</w:t>
      </w:r>
      <w:r>
        <w:rPr>
          <w:rFonts w:hint="eastAsia" w:eastAsia="仿宋" w:cs="Times New Roman"/>
          <w:color w:val="000000"/>
          <w:sz w:val="32"/>
          <w:szCs w:val="32"/>
          <w:lang w:eastAsia="zh-CN"/>
        </w:rPr>
        <w:t>人员增加</w:t>
      </w:r>
      <w:r>
        <w:rPr>
          <w:rFonts w:hint="default" w:ascii="Times New Roman" w:hAnsi="Times New Roman" w:eastAsia="仿宋" w:cs="Times New Roman"/>
          <w:color w:val="000000"/>
          <w:sz w:val="32"/>
          <w:szCs w:val="32"/>
        </w:rPr>
        <w:t>，经费相应</w:t>
      </w:r>
      <w:r>
        <w:rPr>
          <w:rFonts w:hint="eastAsia" w:eastAsia="仿宋" w:cs="Times New Roman"/>
          <w:color w:val="000000"/>
          <w:sz w:val="32"/>
          <w:szCs w:val="32"/>
          <w:lang w:eastAsia="zh-CN"/>
        </w:rPr>
        <w:t>增长</w:t>
      </w:r>
      <w:r>
        <w:rPr>
          <w:rFonts w:hint="default" w:ascii="Times New Roman" w:hAnsi="Times New Roman" w:eastAsia="仿宋" w:cs="Times New Roman"/>
          <w:color w:val="000000"/>
          <w:sz w:val="32"/>
          <w:szCs w:val="32"/>
        </w:rPr>
        <w:t>。</w:t>
      </w:r>
    </w:p>
    <w:p>
      <w:pPr>
        <w:pStyle w:val="2"/>
      </w:pPr>
      <w:r>
        <w:rPr>
          <w:rFonts w:hint="default" w:ascii="Times New Roman" w:hAnsi="Times New Roman" w:eastAsia="仿宋" w:cs="Times New Roman"/>
          <w:sz w:val="32"/>
          <w:szCs w:val="32"/>
          <w:lang w:eastAsia="zh-CN"/>
        </w:rPr>
        <w:drawing>
          <wp:inline distT="0" distB="0" distL="114300" distR="114300">
            <wp:extent cx="4705985" cy="1825625"/>
            <wp:effectExtent l="5080" t="5080" r="13335"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b/>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bookmarkStart w:id="28" w:name="_Toc15396607"/>
      <w:bookmarkStart w:id="29" w:name="_Toc15377209"/>
      <w:r>
        <w:rPr>
          <w:rFonts w:hint="default" w:ascii="Times New Roman" w:hAnsi="Times New Roman" w:eastAsia="仿宋" w:cs="Times New Roman"/>
          <w:sz w:val="32"/>
          <w:szCs w:val="32"/>
          <w:lang w:eastAsia="zh-CN"/>
        </w:rPr>
        <w:drawing>
          <wp:anchor distT="0" distB="0" distL="114300" distR="114300" simplePos="0" relativeHeight="251662336" behindDoc="1" locked="0" layoutInCell="1" allowOverlap="1">
            <wp:simplePos x="0" y="0"/>
            <wp:positionH relativeFrom="column">
              <wp:posOffset>147320</wp:posOffset>
            </wp:positionH>
            <wp:positionV relativeFrom="paragraph">
              <wp:posOffset>-833755</wp:posOffset>
            </wp:positionV>
            <wp:extent cx="4879340" cy="1971675"/>
            <wp:effectExtent l="4445" t="4445" r="12065" b="5080"/>
            <wp:wrapTight wrapText="bothSides">
              <wp:wrapPolygon>
                <wp:start x="-20" y="-49"/>
                <wp:lineTo x="-20" y="21447"/>
                <wp:lineTo x="21569" y="21447"/>
                <wp:lineTo x="21569" y="-49"/>
                <wp:lineTo x="-20" y="-4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8"/>
      <w:bookmarkEnd w:id="29"/>
    </w:p>
    <w:p>
      <w:pPr>
        <w:spacing w:line="600" w:lineRule="exact"/>
        <w:ind w:firstLine="643" w:firstLineChars="200"/>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（一）一般公共预算财政拨款支出决算总体情况</w:t>
      </w:r>
      <w:bookmarkEnd w:id="30"/>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年一般公共预算财政拨款支出</w:t>
      </w:r>
      <w:r>
        <w:rPr>
          <w:rFonts w:hint="eastAsia" w:eastAsia="仿宋" w:cs="Times New Roman"/>
          <w:color w:val="000000"/>
          <w:sz w:val="32"/>
          <w:szCs w:val="32"/>
          <w:lang w:val="en-US" w:eastAsia="zh-CN"/>
        </w:rPr>
        <w:t xml:space="preserve"> 598.56</w:t>
      </w:r>
      <w:r>
        <w:rPr>
          <w:rFonts w:hint="default" w:ascii="Times New Roman" w:hAnsi="Times New Roman" w:eastAsia="仿宋" w:cs="Times New Roman"/>
          <w:color w:val="000000"/>
          <w:sz w:val="32"/>
          <w:szCs w:val="32"/>
        </w:rPr>
        <w:t>万元，占本年支出合计的</w:t>
      </w:r>
      <w:r>
        <w:rPr>
          <w:rFonts w:hint="eastAsia" w:eastAsia="仿宋" w:cs="Times New Roman"/>
          <w:color w:val="000000"/>
          <w:sz w:val="32"/>
          <w:szCs w:val="32"/>
          <w:lang w:val="en-US" w:eastAsia="zh-CN"/>
        </w:rPr>
        <w:t>62.59</w:t>
      </w:r>
      <w:r>
        <w:rPr>
          <w:rFonts w:hint="default" w:ascii="Times New Roman" w:hAnsi="Times New Roman" w:eastAsia="仿宋" w:cs="Times New Roman"/>
          <w:color w:val="000000"/>
          <w:sz w:val="32"/>
          <w:szCs w:val="32"/>
        </w:rPr>
        <w:t>%。与20</w:t>
      </w:r>
      <w:r>
        <w:rPr>
          <w:rFonts w:hint="eastAsia"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年相比，一般公共预算财政拨款支出</w:t>
      </w:r>
      <w:r>
        <w:rPr>
          <w:rFonts w:hint="eastAsia" w:eastAsia="仿宋" w:cs="Times New Roman"/>
          <w:color w:val="000000"/>
          <w:sz w:val="32"/>
          <w:szCs w:val="32"/>
          <w:lang w:eastAsia="zh-CN"/>
        </w:rPr>
        <w:t>增加了</w:t>
      </w:r>
      <w:r>
        <w:rPr>
          <w:rFonts w:hint="eastAsia" w:eastAsia="仿宋" w:cs="Times New Roman"/>
          <w:color w:val="000000"/>
          <w:sz w:val="32"/>
          <w:szCs w:val="32"/>
          <w:lang w:val="en-US" w:eastAsia="zh-CN"/>
        </w:rPr>
        <w:t>76.58</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eastAsia="zh-CN"/>
        </w:rPr>
        <w:t>增长</w:t>
      </w:r>
      <w:r>
        <w:rPr>
          <w:rFonts w:hint="eastAsia" w:eastAsia="仿宋" w:cs="Times New Roman"/>
          <w:color w:val="000000"/>
          <w:sz w:val="32"/>
          <w:szCs w:val="32"/>
          <w:lang w:val="en-US" w:eastAsia="zh-CN"/>
        </w:rPr>
        <w:t>14.67</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eastAsia="zh-CN"/>
        </w:rPr>
        <w:t>人员增多</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相应</w:t>
      </w:r>
      <w:r>
        <w:rPr>
          <w:rFonts w:hint="default" w:ascii="Times New Roman" w:hAnsi="Times New Roman" w:eastAsia="仿宋" w:cs="Times New Roman"/>
          <w:color w:val="000000"/>
          <w:sz w:val="32"/>
          <w:szCs w:val="32"/>
        </w:rPr>
        <w:t>费用</w:t>
      </w:r>
      <w:r>
        <w:rPr>
          <w:rFonts w:hint="eastAsia" w:eastAsia="仿宋" w:cs="Times New Roman"/>
          <w:color w:val="000000"/>
          <w:sz w:val="32"/>
          <w:szCs w:val="32"/>
          <w:lang w:eastAsia="zh-CN"/>
        </w:rPr>
        <w:t>增加</w:t>
      </w:r>
      <w:r>
        <w:rPr>
          <w:rFonts w:hint="default" w:ascii="Times New Roman" w:hAnsi="Times New Roman" w:eastAsia="仿宋" w:cs="Times New Roman"/>
          <w:color w:val="000000"/>
          <w:sz w:val="32"/>
          <w:szCs w:val="32"/>
        </w:rPr>
        <w:t>。</w:t>
      </w:r>
    </w:p>
    <w:p>
      <w:pPr>
        <w:pStyle w:val="2"/>
        <w:ind w:left="0" w:leftChars="0" w:firstLine="0" w:firstLineChars="0"/>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default" w:ascii="Times New Roman" w:hAnsi="Times New Roman" w:eastAsia="仿宋" w:cs="Times New Roman"/>
          <w:color w:val="000000"/>
          <w:sz w:val="32"/>
          <w:szCs w:val="32"/>
          <w:lang w:eastAsia="zh-CN"/>
        </w:rPr>
        <w:drawing>
          <wp:inline distT="0" distB="0" distL="114300" distR="114300">
            <wp:extent cx="5098415" cy="3163570"/>
            <wp:effectExtent l="4445" t="4445" r="21590"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598.56</w:t>
      </w:r>
      <w:r>
        <w:rPr>
          <w:rFonts w:hint="eastAsia" w:ascii="仿宋" w:hAnsi="仿宋" w:eastAsia="仿宋"/>
          <w:color w:val="auto"/>
          <w:sz w:val="32"/>
          <w:szCs w:val="32"/>
          <w:highlight w:val="none"/>
        </w:rPr>
        <w:t>万元</w:t>
      </w:r>
      <w:r>
        <w:rPr>
          <w:rFonts w:hint="default" w:ascii="Times New Roman" w:hAnsi="Times New Roman" w:eastAsia="仿宋" w:cs="Times New Roman"/>
          <w:color w:val="000000" w:themeColor="text1"/>
          <w:sz w:val="32"/>
          <w:szCs w:val="32"/>
          <w14:textFill>
            <w14:solidFill>
              <w14:schemeClr w14:val="tx1"/>
            </w14:solidFill>
          </w14:textFill>
        </w:rPr>
        <w:t>，主要用于以下方面:</w:t>
      </w:r>
      <w:r>
        <w:rPr>
          <w:rFonts w:hint="default" w:ascii="Times New Roman" w:hAnsi="Times New Roman" w:eastAsia="仿宋" w:cs="Times New Roman"/>
          <w:b/>
          <w:color w:val="000000" w:themeColor="text1"/>
          <w:sz w:val="32"/>
          <w:szCs w:val="32"/>
          <w14:textFill>
            <w14:solidFill>
              <w14:schemeClr w14:val="tx1"/>
            </w14:solidFill>
          </w14:textFill>
        </w:rPr>
        <w:t>教育支出（类）</w:t>
      </w:r>
      <w:r>
        <w:rPr>
          <w:rFonts w:hint="eastAsia" w:eastAsia="仿宋" w:cs="Times New Roman"/>
          <w:color w:val="000000" w:themeColor="text1"/>
          <w:sz w:val="32"/>
          <w:szCs w:val="32"/>
          <w:lang w:val="en-US" w:eastAsia="zh-CN"/>
          <w14:textFill>
            <w14:solidFill>
              <w14:schemeClr w14:val="tx1"/>
            </w14:solidFill>
          </w14:textFill>
        </w:rPr>
        <w:t>462.15</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eastAsia" w:eastAsia="仿宋" w:cs="Times New Roman"/>
          <w:color w:val="000000" w:themeColor="text1"/>
          <w:sz w:val="32"/>
          <w:szCs w:val="32"/>
          <w:lang w:val="en-US" w:eastAsia="zh-CN"/>
          <w14:textFill>
            <w14:solidFill>
              <w14:schemeClr w14:val="tx1"/>
            </w14:solidFill>
          </w14:textFill>
        </w:rPr>
        <w:t>77.21</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color w:val="000000" w:themeColor="text1"/>
          <w:sz w:val="32"/>
          <w:szCs w:val="32"/>
          <w14:textFill>
            <w14:solidFill>
              <w14:schemeClr w14:val="tx1"/>
            </w14:solidFill>
          </w14:textFill>
        </w:rPr>
        <w:t>社会保障和就业（类）</w:t>
      </w:r>
      <w:r>
        <w:rPr>
          <w:rFonts w:hint="default" w:ascii="Times New Roman" w:hAnsi="Times New Roman" w:eastAsia="仿宋" w:cs="Times New Roman"/>
          <w:color w:val="000000" w:themeColor="text1"/>
          <w:sz w:val="32"/>
          <w:szCs w:val="32"/>
          <w14:textFill>
            <w14:solidFill>
              <w14:schemeClr w14:val="tx1"/>
            </w14:solidFill>
          </w14:textFill>
        </w:rPr>
        <w:t>支出</w:t>
      </w:r>
      <w:r>
        <w:rPr>
          <w:rFonts w:hint="eastAsia" w:eastAsia="仿宋" w:cs="Times New Roman"/>
          <w:color w:val="000000" w:themeColor="text1"/>
          <w:sz w:val="32"/>
          <w:szCs w:val="32"/>
          <w:lang w:val="en-US" w:eastAsia="zh-CN"/>
          <w14:textFill>
            <w14:solidFill>
              <w14:schemeClr w14:val="tx1"/>
            </w14:solidFill>
          </w14:textFill>
        </w:rPr>
        <w:t>73.79</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eastAsia" w:eastAsia="仿宋" w:cs="Times New Roman"/>
          <w:color w:val="000000" w:themeColor="text1"/>
          <w:sz w:val="32"/>
          <w:szCs w:val="32"/>
          <w:lang w:val="en-US" w:eastAsia="zh-CN"/>
          <w14:textFill>
            <w14:solidFill>
              <w14:schemeClr w14:val="tx1"/>
            </w14:solidFill>
          </w14:textFill>
        </w:rPr>
        <w:t>12.33</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Fonts w:hint="eastAsia" w:eastAsia="仿宋" w:cs="Times New Roman"/>
          <w:b/>
          <w:bCs/>
          <w:color w:val="000000" w:themeColor="text1"/>
          <w:sz w:val="32"/>
          <w:szCs w:val="32"/>
          <w:lang w:val="en-US" w:eastAsia="zh-CN"/>
          <w14:textFill>
            <w14:solidFill>
              <w14:schemeClr w14:val="tx1"/>
            </w14:solidFill>
          </w14:textFill>
        </w:rPr>
        <w:t>28.96</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eastAsia" w:eastAsia="仿宋" w:cs="Times New Roman"/>
          <w:color w:val="000000" w:themeColor="text1"/>
          <w:sz w:val="32"/>
          <w:szCs w:val="32"/>
          <w:lang w:val="en-US" w:eastAsia="zh-CN"/>
          <w14:textFill>
            <w14:solidFill>
              <w14:schemeClr w14:val="tx1"/>
            </w14:solidFill>
          </w14:textFill>
        </w:rPr>
        <w:t>4.84</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住房保障支出</w:t>
      </w:r>
      <w:r>
        <w:rPr>
          <w:rFonts w:hint="eastAsia" w:eastAsia="仿宋" w:cs="Times New Roman"/>
          <w:b/>
          <w:bCs/>
          <w:color w:val="000000" w:themeColor="text1"/>
          <w:sz w:val="32"/>
          <w:szCs w:val="32"/>
          <w:lang w:val="en-US" w:eastAsia="zh-CN"/>
          <w14:textFill>
            <w14:solidFill>
              <w14:schemeClr w14:val="tx1"/>
            </w14:solidFill>
          </w14:textFill>
        </w:rPr>
        <w:t>33.66</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eastAsia" w:eastAsia="仿宋" w:cs="Times New Roman"/>
          <w:color w:val="000000" w:themeColor="text1"/>
          <w:sz w:val="32"/>
          <w:szCs w:val="32"/>
          <w:lang w:val="en-US" w:eastAsia="zh-CN"/>
          <w14:textFill>
            <w14:solidFill>
              <w14:schemeClr w14:val="tx1"/>
            </w14:solidFill>
          </w14:textFill>
        </w:rPr>
        <w:t>5.62</w:t>
      </w:r>
      <w:r>
        <w:rPr>
          <w:rFonts w:hint="default" w:ascii="Times New Roman" w:hAnsi="Times New Roman" w:eastAsia="仿宋" w:cs="Times New Roman"/>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仿宋" w:hAnsi="仿宋" w:eastAsia="仿宋"/>
          <w:color w:val="auto"/>
          <w:sz w:val="32"/>
          <w:szCs w:val="32"/>
          <w:highlight w:val="none"/>
        </w:rPr>
      </w:pPr>
      <w:r>
        <w:rPr>
          <w:rFonts w:hint="default" w:ascii="Times New Roman" w:hAnsi="Times New Roman" w:eastAsia="仿宋" w:cs="Times New Roman"/>
          <w:b/>
          <w:bCs/>
          <w:sz w:val="32"/>
          <w:szCs w:val="32"/>
          <w:lang w:eastAsia="zh-CN"/>
        </w:rPr>
        <w:drawing>
          <wp:anchor distT="0" distB="0" distL="114300" distR="114300" simplePos="0" relativeHeight="251663360" behindDoc="1" locked="0" layoutInCell="1" allowOverlap="1">
            <wp:simplePos x="0" y="0"/>
            <wp:positionH relativeFrom="column">
              <wp:posOffset>241935</wp:posOffset>
            </wp:positionH>
            <wp:positionV relativeFrom="paragraph">
              <wp:posOffset>182880</wp:posOffset>
            </wp:positionV>
            <wp:extent cx="4880610" cy="3073400"/>
            <wp:effectExtent l="4445" t="4445" r="10795" b="8255"/>
            <wp:wrapTight wrapText="bothSides">
              <wp:wrapPolygon>
                <wp:start x="-20" y="-31"/>
                <wp:lineTo x="-20" y="21524"/>
                <wp:lineTo x="21563" y="21524"/>
                <wp:lineTo x="21563" y="-31"/>
                <wp:lineTo x="-20" y="-31"/>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b w:val="0"/>
          <w:bCs/>
          <w:color w:val="FF0000"/>
          <w:sz w:val="32"/>
          <w:szCs w:val="32"/>
        </w:rPr>
      </w:pPr>
      <w:bookmarkStart w:id="33" w:name="_Toc2662"/>
      <w:r>
        <w:rPr>
          <w:rFonts w:hint="eastAsia" w:ascii="仿宋" w:hAnsi="仿宋" w:eastAsia="仿宋" w:cs="仿宋"/>
          <w:b w:val="0"/>
          <w:bCs/>
          <w:color w:val="000000" w:themeColor="text1"/>
          <w:sz w:val="32"/>
          <w:szCs w:val="32"/>
          <w14:textFill>
            <w14:solidFill>
              <w14:schemeClr w14:val="tx1"/>
            </w14:solidFill>
          </w14:textFill>
        </w:rPr>
        <w:t>20</w:t>
      </w:r>
      <w:r>
        <w:rPr>
          <w:rFonts w:hint="eastAsia" w:ascii="仿宋" w:hAnsi="仿宋" w:eastAsia="仿宋" w:cs="仿宋"/>
          <w:b w:val="0"/>
          <w:bCs/>
          <w:color w:val="000000" w:themeColor="text1"/>
          <w:sz w:val="32"/>
          <w:szCs w:val="32"/>
          <w:lang w:val="en-US" w:eastAsia="zh-CN"/>
          <w14:textFill>
            <w14:solidFill>
              <w14:schemeClr w14:val="tx1"/>
            </w14:solidFill>
          </w14:textFill>
        </w:rPr>
        <w:t>21</w:t>
      </w:r>
      <w:r>
        <w:rPr>
          <w:rFonts w:hint="eastAsia" w:ascii="仿宋" w:hAnsi="仿宋" w:eastAsia="仿宋" w:cs="仿宋"/>
          <w:b w:val="0"/>
          <w:bCs/>
          <w:color w:val="000000" w:themeColor="text1"/>
          <w:sz w:val="32"/>
          <w:szCs w:val="32"/>
          <w14:textFill>
            <w14:solidFill>
              <w14:schemeClr w14:val="tx1"/>
            </w14:solidFill>
          </w14:textFill>
        </w:rPr>
        <w:t>年一般公共预算支出决算数为</w:t>
      </w:r>
      <w:r>
        <w:rPr>
          <w:rFonts w:hint="eastAsia" w:ascii="仿宋" w:hAnsi="仿宋" w:eastAsia="仿宋" w:cs="仿宋"/>
          <w:b w:val="0"/>
          <w:bCs/>
          <w:color w:val="000000" w:themeColor="text1"/>
          <w:sz w:val="32"/>
          <w:szCs w:val="32"/>
          <w:lang w:val="en-US" w:eastAsia="zh-CN"/>
          <w14:textFill>
            <w14:solidFill>
              <w14:schemeClr w14:val="tx1"/>
            </w14:solidFill>
          </w14:textFill>
        </w:rPr>
        <w:t>598.56</w:t>
      </w:r>
      <w:r>
        <w:rPr>
          <w:rFonts w:hint="eastAsia" w:ascii="仿宋" w:hAnsi="仿宋" w:eastAsia="仿宋" w:cs="仿宋"/>
          <w:b w:val="0"/>
          <w:bCs/>
          <w:color w:val="000000" w:themeColor="text1"/>
          <w:sz w:val="32"/>
          <w:szCs w:val="32"/>
          <w14:textFill>
            <w14:solidFill>
              <w14:schemeClr w14:val="tx1"/>
            </w14:solidFill>
          </w14:textFill>
        </w:rPr>
        <w:t>万元，</w:t>
      </w:r>
      <w:r>
        <w:rPr>
          <w:rStyle w:val="16"/>
          <w:rFonts w:hint="eastAsia" w:ascii="仿宋" w:hAnsi="仿宋" w:eastAsia="仿宋" w:cs="仿宋"/>
          <w:b w:val="0"/>
          <w:bCs/>
          <w:color w:val="000000" w:themeColor="text1"/>
          <w:sz w:val="32"/>
          <w:szCs w:val="32"/>
          <w14:textFill>
            <w14:solidFill>
              <w14:schemeClr w14:val="tx1"/>
            </w14:solidFill>
          </w14:textFill>
        </w:rPr>
        <w:t>完成</w:t>
      </w:r>
      <w:r>
        <w:rPr>
          <w:rStyle w:val="16"/>
          <w:rFonts w:hint="eastAsia" w:ascii="仿宋" w:hAnsi="仿宋" w:eastAsia="仿宋" w:cs="仿宋"/>
          <w:b w:val="0"/>
          <w:bCs/>
          <w:color w:val="000000"/>
          <w:sz w:val="32"/>
          <w:szCs w:val="32"/>
        </w:rPr>
        <w:t>预算</w:t>
      </w:r>
      <w:r>
        <w:rPr>
          <w:rStyle w:val="16"/>
          <w:rFonts w:hint="eastAsia" w:ascii="仿宋" w:hAnsi="仿宋" w:eastAsia="仿宋" w:cs="仿宋"/>
          <w:b w:val="0"/>
          <w:bCs/>
          <w:color w:val="000000"/>
          <w:sz w:val="32"/>
          <w:szCs w:val="32"/>
          <w:lang w:val="en-US" w:eastAsia="zh-CN"/>
        </w:rPr>
        <w:t>100</w:t>
      </w:r>
      <w:r>
        <w:rPr>
          <w:rStyle w:val="16"/>
          <w:rFonts w:hint="eastAsia" w:ascii="仿宋" w:hAnsi="仿宋" w:eastAsia="仿宋" w:cs="仿宋"/>
          <w:b w:val="0"/>
          <w:bCs/>
          <w:color w:val="000000"/>
          <w:sz w:val="32"/>
          <w:szCs w:val="32"/>
        </w:rPr>
        <w:t>%。其中：</w:t>
      </w:r>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Style w:val="16"/>
          <w:rFonts w:hint="default" w:ascii="Times New Roman" w:hAnsi="Times New Roman" w:eastAsia="仿宋" w:cs="Times New Roman"/>
          <w:b w:val="0"/>
          <w:bCs/>
          <w:color w:val="000000"/>
          <w:sz w:val="32"/>
          <w:szCs w:val="32"/>
          <w:lang w:eastAsia="zh-CN"/>
        </w:rPr>
      </w:pPr>
      <w:r>
        <w:rPr>
          <w:rStyle w:val="16"/>
          <w:rFonts w:hint="eastAsia" w:eastAsia="仿宋" w:cs="Times New Roman"/>
          <w:color w:val="000000"/>
          <w:sz w:val="32"/>
          <w:szCs w:val="32"/>
          <w:lang w:val="en-US" w:eastAsia="zh-CN"/>
        </w:rPr>
        <w:t>1</w:t>
      </w:r>
      <w:r>
        <w:rPr>
          <w:rStyle w:val="16"/>
          <w:rFonts w:hint="default" w:ascii="Times New Roman" w:hAnsi="Times New Roman" w:eastAsia="仿宋" w:cs="Times New Roman"/>
          <w:color w:val="000000"/>
          <w:sz w:val="32"/>
          <w:szCs w:val="32"/>
        </w:rPr>
        <w:t>.教育支出（类）</w:t>
      </w:r>
      <w:r>
        <w:rPr>
          <w:rStyle w:val="16"/>
          <w:rFonts w:hint="eastAsia" w:eastAsia="仿宋" w:cs="Times New Roman"/>
          <w:color w:val="000000"/>
          <w:sz w:val="32"/>
          <w:szCs w:val="32"/>
          <w:lang w:eastAsia="zh-CN"/>
        </w:rPr>
        <w:t>广播电视教育</w:t>
      </w:r>
      <w:r>
        <w:rPr>
          <w:rStyle w:val="16"/>
          <w:rFonts w:hint="default" w:ascii="Times New Roman" w:hAnsi="Times New Roman" w:eastAsia="仿宋" w:cs="Times New Roman"/>
          <w:color w:val="000000"/>
          <w:sz w:val="32"/>
          <w:szCs w:val="32"/>
        </w:rPr>
        <w:t>（款）</w:t>
      </w:r>
      <w:r>
        <w:rPr>
          <w:rStyle w:val="16"/>
          <w:rFonts w:hint="eastAsia" w:eastAsia="仿宋" w:cs="Times New Roman"/>
          <w:color w:val="000000"/>
          <w:sz w:val="32"/>
          <w:szCs w:val="32"/>
          <w:lang w:eastAsia="zh-CN"/>
        </w:rPr>
        <w:t>广播电视学校</w:t>
      </w:r>
      <w:r>
        <w:rPr>
          <w:rStyle w:val="16"/>
          <w:rFonts w:hint="default" w:ascii="Times New Roman" w:hAnsi="Times New Roman" w:eastAsia="仿宋" w:cs="Times New Roman"/>
          <w:color w:val="000000"/>
          <w:sz w:val="32"/>
          <w:szCs w:val="32"/>
        </w:rPr>
        <w:t>（项）: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458.35</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r>
        <w:rPr>
          <w:rStyle w:val="16"/>
          <w:rFonts w:hint="default" w:ascii="Times New Roman" w:hAnsi="Times New Roman" w:eastAsia="仿宋" w:cs="Times New Roman"/>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color w:val="000000"/>
          <w:sz w:val="32"/>
          <w:szCs w:val="32"/>
        </w:rPr>
        <w:t>2.教育支出（类）进修及培训（款）培训支出（项）: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3.81</w:t>
      </w:r>
      <w:r>
        <w:rPr>
          <w:rStyle w:val="16"/>
          <w:rFonts w:hint="default" w:ascii="Times New Roman" w:hAnsi="Times New Roman" w:eastAsia="仿宋" w:cs="Times New Roman"/>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rPr>
        <w:t>3.社会保障和就业支出（类）行政事业单位</w:t>
      </w:r>
      <w:r>
        <w:rPr>
          <w:rStyle w:val="16"/>
          <w:rFonts w:hint="eastAsia" w:eastAsia="仿宋" w:cs="Times New Roman"/>
          <w:bCs/>
          <w:color w:val="000000"/>
          <w:sz w:val="32"/>
          <w:szCs w:val="32"/>
          <w:lang w:eastAsia="zh-CN"/>
        </w:rPr>
        <w:t>养老支出</w:t>
      </w:r>
      <w:r>
        <w:rPr>
          <w:rStyle w:val="16"/>
          <w:rFonts w:hint="default" w:ascii="Times New Roman" w:hAnsi="Times New Roman" w:eastAsia="仿宋" w:cs="Times New Roman"/>
          <w:bCs/>
          <w:color w:val="000000"/>
          <w:sz w:val="32"/>
          <w:szCs w:val="32"/>
        </w:rPr>
        <w:t>（款）行政单位离退休（项）: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1.57</w:t>
      </w:r>
      <w:r>
        <w:rPr>
          <w:rStyle w:val="16"/>
          <w:rFonts w:hint="default" w:ascii="Times New Roman" w:hAnsi="Times New Roman" w:eastAsia="仿宋" w:cs="Times New Roman"/>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6"/>
          <w:rFonts w:hint="default" w:ascii="Times New Roman" w:hAnsi="Times New Roman" w:eastAsia="仿宋" w:cs="Times New Roman"/>
          <w:b w:val="0"/>
          <w:bCs/>
          <w:color w:val="000000"/>
          <w:sz w:val="32"/>
          <w:szCs w:val="32"/>
          <w:lang w:eastAsia="zh-CN"/>
        </w:rPr>
      </w:pPr>
      <w:r>
        <w:rPr>
          <w:rStyle w:val="16"/>
          <w:rFonts w:hint="default" w:ascii="Times New Roman" w:hAnsi="Times New Roman" w:eastAsia="仿宋" w:cs="Times New Roman"/>
          <w:bCs/>
          <w:color w:val="000000"/>
          <w:sz w:val="32"/>
          <w:szCs w:val="32"/>
          <w:lang w:val="en-US" w:eastAsia="zh-CN"/>
        </w:rPr>
        <w:t>4</w:t>
      </w:r>
      <w:r>
        <w:rPr>
          <w:rStyle w:val="16"/>
          <w:rFonts w:hint="default" w:ascii="Times New Roman" w:hAnsi="Times New Roman" w:eastAsia="仿宋" w:cs="Times New Roman"/>
          <w:bCs/>
          <w:color w:val="000000"/>
          <w:sz w:val="32"/>
          <w:szCs w:val="32"/>
        </w:rPr>
        <w:t>.社会保障和就业支出（类）行政事业单位</w:t>
      </w:r>
      <w:r>
        <w:rPr>
          <w:rStyle w:val="16"/>
          <w:rFonts w:hint="eastAsia" w:eastAsia="仿宋" w:cs="Times New Roman"/>
          <w:bCs/>
          <w:color w:val="000000"/>
          <w:sz w:val="32"/>
          <w:szCs w:val="32"/>
          <w:lang w:eastAsia="zh-CN"/>
        </w:rPr>
        <w:t>养老支出</w:t>
      </w:r>
      <w:r>
        <w:rPr>
          <w:rStyle w:val="16"/>
          <w:rFonts w:hint="default" w:ascii="Times New Roman" w:hAnsi="Times New Roman" w:eastAsia="仿宋" w:cs="Times New Roman"/>
          <w:bCs/>
          <w:color w:val="000000"/>
          <w:sz w:val="32"/>
          <w:szCs w:val="32"/>
        </w:rPr>
        <w:t>（款）机关事业单位基本养老保险缴费支出（项）: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44.87</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r>
        <w:rPr>
          <w:rStyle w:val="16"/>
          <w:rFonts w:hint="default" w:ascii="Times New Roman" w:hAnsi="Times New Roman" w:eastAsia="仿宋"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5</w:t>
      </w:r>
      <w:r>
        <w:rPr>
          <w:rStyle w:val="16"/>
          <w:rFonts w:hint="default" w:ascii="Times New Roman" w:hAnsi="Times New Roman" w:eastAsia="仿宋" w:cs="Times New Roman"/>
          <w:bCs/>
          <w:color w:val="000000"/>
          <w:sz w:val="32"/>
          <w:szCs w:val="32"/>
        </w:rPr>
        <w:t>.社会保障和就业支出（类）行政事业单位离退休（款）机关事业单位职业年金缴费支出（项）: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3.09</w:t>
      </w:r>
      <w:r>
        <w:rPr>
          <w:rStyle w:val="16"/>
          <w:rFonts w:hint="default" w:ascii="Times New Roman" w:hAnsi="Times New Roman" w:eastAsia="仿宋" w:cs="Times New Roman"/>
          <w:b w:val="0"/>
          <w:bCs/>
          <w:color w:val="000000"/>
          <w:sz w:val="32"/>
          <w:szCs w:val="32"/>
        </w:rPr>
        <w:t>万元，完成预算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6</w:t>
      </w:r>
      <w:r>
        <w:rPr>
          <w:rStyle w:val="16"/>
          <w:rFonts w:hint="default" w:ascii="Times New Roman" w:hAnsi="Times New Roman" w:eastAsia="仿宋" w:cs="Times New Roman"/>
          <w:bCs/>
          <w:color w:val="000000"/>
          <w:sz w:val="32"/>
          <w:szCs w:val="32"/>
        </w:rPr>
        <w:t>.社会保障和就业支出（类）</w:t>
      </w:r>
      <w:r>
        <w:rPr>
          <w:rStyle w:val="16"/>
          <w:rFonts w:hint="eastAsia" w:eastAsia="仿宋" w:cs="Times New Roman"/>
          <w:bCs/>
          <w:color w:val="000000"/>
          <w:sz w:val="32"/>
          <w:szCs w:val="32"/>
          <w:lang w:eastAsia="zh-CN"/>
        </w:rPr>
        <w:t>行政事业单位养老支出</w:t>
      </w:r>
      <w:r>
        <w:rPr>
          <w:rStyle w:val="16"/>
          <w:rFonts w:hint="default" w:ascii="Times New Roman" w:hAnsi="Times New Roman" w:eastAsia="仿宋" w:cs="Times New Roman"/>
          <w:bCs/>
          <w:color w:val="000000"/>
          <w:sz w:val="32"/>
          <w:szCs w:val="32"/>
        </w:rPr>
        <w:t>（款）其</w:t>
      </w:r>
      <w:r>
        <w:rPr>
          <w:rStyle w:val="16"/>
          <w:rFonts w:hint="eastAsia" w:eastAsia="仿宋" w:cs="Times New Roman"/>
          <w:bCs/>
          <w:color w:val="000000"/>
          <w:sz w:val="32"/>
          <w:szCs w:val="32"/>
          <w:lang w:eastAsia="zh-CN"/>
        </w:rPr>
        <w:t>他行政事业单位养老支出</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24.25</w:t>
      </w:r>
      <w:r>
        <w:rPr>
          <w:rStyle w:val="16"/>
          <w:rFonts w:hint="default" w:ascii="Times New Roman" w:hAnsi="Times New Roman" w:eastAsia="仿宋" w:cs="Times New Roman"/>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lang w:val="en-US" w:eastAsia="zh-CN"/>
        </w:rPr>
        <w:t>7</w:t>
      </w:r>
      <w:r>
        <w:rPr>
          <w:rStyle w:val="1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Style w:val="16"/>
          <w:rFonts w:hint="default" w:ascii="Times New Roman" w:hAnsi="Times New Roman" w:eastAsia="仿宋" w:cs="Times New Roman"/>
          <w:bCs/>
          <w:color w:val="000000"/>
          <w:sz w:val="32"/>
          <w:szCs w:val="32"/>
        </w:rPr>
        <w:t>（类）行政事业单位医疗（款）</w:t>
      </w:r>
      <w:r>
        <w:rPr>
          <w:rStyle w:val="16"/>
          <w:rFonts w:hint="eastAsia" w:eastAsia="仿宋" w:cs="Times New Roman"/>
          <w:bCs/>
          <w:color w:val="000000"/>
          <w:sz w:val="32"/>
          <w:szCs w:val="32"/>
          <w:lang w:eastAsia="zh-CN"/>
        </w:rPr>
        <w:t>事业</w:t>
      </w:r>
      <w:r>
        <w:rPr>
          <w:rStyle w:val="16"/>
          <w:rFonts w:hint="default" w:ascii="Times New Roman" w:hAnsi="Times New Roman" w:eastAsia="仿宋" w:cs="Times New Roman"/>
          <w:bCs/>
          <w:color w:val="000000"/>
          <w:sz w:val="32"/>
          <w:szCs w:val="32"/>
        </w:rPr>
        <w:t>单位医疗（项）:</w:t>
      </w:r>
      <w:r>
        <w:rPr>
          <w:rStyle w:val="16"/>
          <w:rFonts w:hint="default" w:ascii="Times New Roman" w:hAnsi="Times New Roman" w:eastAsia="仿宋" w:cs="Times New Roman"/>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2</w:t>
      </w:r>
      <w:r>
        <w:rPr>
          <w:rStyle w:val="16"/>
          <w:rFonts w:hint="eastAsia" w:eastAsia="仿宋" w:cs="Times New Roman"/>
          <w:b w:val="0"/>
          <w:bCs/>
          <w:color w:val="000000"/>
          <w:sz w:val="32"/>
          <w:szCs w:val="32"/>
          <w:lang w:val="en-US" w:eastAsia="zh-CN"/>
        </w:rPr>
        <w:t>3.28</w:t>
      </w:r>
      <w:r>
        <w:rPr>
          <w:rStyle w:val="16"/>
          <w:rFonts w:hint="default" w:ascii="Times New Roman" w:hAnsi="Times New Roman" w:eastAsia="仿宋" w:cs="Times New Roman"/>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lang w:val="en-US" w:eastAsia="zh-CN"/>
        </w:rPr>
        <w:t>8</w:t>
      </w:r>
      <w:r>
        <w:rPr>
          <w:rStyle w:val="1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Style w:val="16"/>
          <w:rFonts w:hint="default" w:ascii="Times New Roman" w:hAnsi="Times New Roman" w:eastAsia="仿宋" w:cs="Times New Roman"/>
          <w:bCs/>
          <w:color w:val="000000"/>
          <w:sz w:val="32"/>
          <w:szCs w:val="32"/>
        </w:rPr>
        <w:t>（类）行政事业单位医疗（款）公务员医疗补助（项）: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5.68</w:t>
      </w:r>
      <w:r>
        <w:rPr>
          <w:rStyle w:val="16"/>
          <w:rFonts w:hint="default" w:ascii="Times New Roman" w:hAnsi="Times New Roman" w:eastAsia="仿宋" w:cs="Times New Roman"/>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lang w:val="en-US" w:eastAsia="zh-CN"/>
        </w:rPr>
        <w:t>9</w:t>
      </w:r>
      <w:r>
        <w:rPr>
          <w:rStyle w:val="1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住房保障支出</w:t>
      </w:r>
      <w:r>
        <w:rPr>
          <w:rStyle w:val="16"/>
          <w:rFonts w:hint="default" w:ascii="Times New Roman" w:hAnsi="Times New Roman" w:eastAsia="仿宋" w:cs="Times New Roman"/>
          <w:bCs/>
          <w:color w:val="000000"/>
          <w:sz w:val="32"/>
          <w:szCs w:val="32"/>
        </w:rPr>
        <w:t>（类）住房改革支出（款）住房公积金（项）:</w:t>
      </w:r>
      <w:r>
        <w:rPr>
          <w:rStyle w:val="16"/>
          <w:rFonts w:hint="default" w:ascii="Times New Roman" w:hAnsi="Times New Roman" w:eastAsia="仿宋" w:cs="Times New Roman"/>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3</w:t>
      </w:r>
      <w:r>
        <w:rPr>
          <w:rStyle w:val="16"/>
          <w:rFonts w:hint="eastAsia" w:eastAsia="仿宋" w:cs="Times New Roman"/>
          <w:b w:val="0"/>
          <w:bCs/>
          <w:color w:val="000000"/>
          <w:sz w:val="32"/>
          <w:szCs w:val="32"/>
          <w:lang w:val="en-US" w:eastAsia="zh-CN"/>
        </w:rPr>
        <w:t>3.66</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pPr>
        <w:spacing w:line="600" w:lineRule="exact"/>
        <w:rPr>
          <w:rFonts w:ascii="仿宋" w:hAnsi="仿宋" w:eastAsia="仿宋"/>
          <w:b/>
          <w:color w:val="auto"/>
          <w:sz w:val="32"/>
          <w:szCs w:val="32"/>
          <w:highlight w:val="none"/>
        </w:rPr>
      </w:pPr>
    </w:p>
    <w:p>
      <w:pPr>
        <w:tabs>
          <w:tab w:val="right" w:pos="8306"/>
        </w:tabs>
        <w:spacing w:line="600" w:lineRule="exact"/>
        <w:ind w:firstLine="640"/>
        <w:outlineLvl w:val="1"/>
        <w:rPr>
          <w:rStyle w:val="27"/>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598.56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516.90</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退休费、抚恤金、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81.66</w:t>
      </w:r>
      <w:r>
        <w:rPr>
          <w:rFonts w:hint="eastAsia" w:ascii="仿宋" w:hAnsi="仿宋" w:eastAsia="仿宋"/>
          <w:color w:val="auto"/>
          <w:sz w:val="32"/>
          <w:szCs w:val="32"/>
          <w:highlight w:val="none"/>
        </w:rPr>
        <w:t>万元，主要包括：办公费、咨询费、手续费、水费、电费、邮电费、差旅费、维修（护）费、培训费、公务接待费、工会经费、福利费、公务用车运行维护费、其他商品和服务支出。</w:t>
      </w:r>
    </w:p>
    <w:p>
      <w:pPr>
        <w:spacing w:line="600" w:lineRule="exact"/>
        <w:ind w:firstLine="640"/>
        <w:outlineLvl w:val="1"/>
        <w:rPr>
          <w:rStyle w:val="27"/>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，决算数小于与预算数持平的主要原因</w:t>
      </w:r>
      <w:r>
        <w:rPr>
          <w:rFonts w:hint="default" w:ascii="Times New Roman" w:hAnsi="Times New Roman" w:eastAsia="仿宋" w:cs="Times New Roman"/>
          <w:color w:val="000000"/>
          <w:sz w:val="32"/>
          <w:szCs w:val="32"/>
          <w:lang w:eastAsia="zh-CN"/>
        </w:rPr>
        <w:t>严控“三公”经费支出</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lang w:val="en-US" w:eastAsia="zh-CN"/>
        </w:rPr>
        <w:t>2020年决算相比，</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是严格控制</w:t>
      </w:r>
      <w:r>
        <w:rPr>
          <w:rFonts w:hint="default" w:ascii="Times New Roman" w:hAnsi="Times New Roman" w:eastAsia="仿宋" w:cs="Times New Roman"/>
          <w:color w:val="000000"/>
          <w:sz w:val="32"/>
          <w:szCs w:val="32"/>
          <w:highlight w:val="none"/>
          <w:lang w:eastAsia="zh-CN"/>
        </w:rPr>
        <w:t>“三公”经费支出</w:t>
      </w:r>
      <w:r>
        <w:rPr>
          <w:rFonts w:hint="eastAsia" w:ascii="仿宋_GB2312" w:eastAsia="仿宋_GB2312"/>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52.45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47.55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ind w:left="0" w:leftChars="0" w:firstLine="0" w:firstLineChars="0"/>
        <w:rPr>
          <w:rFonts w:hint="eastAsia" w:eastAsia="仿宋_GB2312"/>
          <w:lang w:eastAsia="zh-CN"/>
        </w:rPr>
      </w:pPr>
      <w:r>
        <w:rPr>
          <w:rFonts w:hint="eastAsia" w:eastAsia="仿宋_GB2312"/>
          <w:lang w:eastAsia="zh-CN"/>
        </w:rPr>
        <w:drawing>
          <wp:inline distT="0" distB="0" distL="114300" distR="114300">
            <wp:extent cx="5080000" cy="2581910"/>
            <wp:effectExtent l="4445" t="4445" r="20955" b="234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pPr>
    </w:p>
    <w:p>
      <w:pPr>
        <w:pStyle w:val="2"/>
      </w:pPr>
    </w:p>
    <w:p>
      <w:pPr>
        <w:pStyle w:val="2"/>
      </w:pPr>
    </w:p>
    <w:p>
      <w:pPr>
        <w:pStyle w:val="2"/>
      </w:pP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我单位无</w:t>
      </w:r>
      <w:r>
        <w:rPr>
          <w:rFonts w:hint="eastAsia" w:ascii="仿宋_GB2312" w:eastAsia="仿宋_GB2312"/>
          <w:color w:val="auto"/>
          <w:sz w:val="32"/>
          <w:szCs w:val="32"/>
          <w:highlight w:val="none"/>
        </w:rPr>
        <w:t>因公出国（境）经费支出。</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3</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我单位严格控制公务用车购置及运行维护费支出</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3</w:t>
      </w:r>
      <w:r>
        <w:rPr>
          <w:rFonts w:hint="eastAsia" w:ascii="仿宋_GB2312" w:eastAsia="仿宋_GB2312"/>
          <w:color w:val="auto"/>
          <w:sz w:val="32"/>
          <w:szCs w:val="32"/>
          <w:highlight w:val="none"/>
        </w:rPr>
        <w:t>万元。主要</w:t>
      </w:r>
      <w:r>
        <w:rPr>
          <w:rFonts w:hint="eastAsia" w:ascii="仿宋" w:hAnsi="仿宋" w:eastAsia="仿宋" w:cs="仿宋"/>
          <w:b w:val="0"/>
          <w:bCs w:val="0"/>
          <w:color w:val="000000" w:themeColor="text1"/>
          <w:sz w:val="32"/>
          <w:szCs w:val="32"/>
          <w14:textFill>
            <w14:solidFill>
              <w14:schemeClr w14:val="tx1"/>
            </w14:solidFill>
          </w14:textFill>
        </w:rPr>
        <w:t>用于保障我校</w:t>
      </w:r>
      <w:r>
        <w:rPr>
          <w:rFonts w:hint="eastAsia" w:ascii="仿宋" w:hAnsi="仿宋" w:eastAsia="仿宋" w:cs="仿宋"/>
          <w:b w:val="0"/>
          <w:bCs w:val="0"/>
          <w:color w:val="000000" w:themeColor="text1"/>
          <w:sz w:val="32"/>
          <w:szCs w:val="32"/>
          <w:lang w:eastAsia="zh-CN"/>
          <w14:textFill>
            <w14:solidFill>
              <w14:schemeClr w14:val="tx1"/>
            </w14:solidFill>
          </w14:textFill>
        </w:rPr>
        <w:t>党建、脱贫攻坚、疫情防控、</w:t>
      </w:r>
      <w:r>
        <w:rPr>
          <w:rFonts w:hint="eastAsia" w:ascii="仿宋" w:hAnsi="仿宋" w:eastAsia="仿宋" w:cs="仿宋"/>
          <w:b w:val="0"/>
          <w:bCs w:val="0"/>
          <w:color w:val="000000" w:themeColor="text1"/>
          <w:sz w:val="32"/>
          <w:szCs w:val="32"/>
          <w14:textFill>
            <w14:solidFill>
              <w14:schemeClr w14:val="tx1"/>
            </w14:solidFill>
          </w14:textFill>
        </w:rPr>
        <w:t>培训等工作开展所需的公务用车燃料费、维修费、过路过桥费、保险费等支出</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2.72</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是我单位严格控制公务接待费支出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2.72</w:t>
      </w:r>
      <w:r>
        <w:rPr>
          <w:rFonts w:hint="eastAsia" w:ascii="仿宋_GB2312" w:eastAsia="仿宋_GB2312"/>
          <w:color w:val="auto"/>
          <w:sz w:val="32"/>
          <w:szCs w:val="32"/>
          <w:highlight w:val="none"/>
        </w:rPr>
        <w:t>万元，主要</w:t>
      </w:r>
      <w:r>
        <w:rPr>
          <w:rFonts w:hint="eastAsia" w:ascii="仿宋" w:hAnsi="仿宋" w:eastAsia="仿宋" w:cs="仿宋"/>
          <w:b w:val="0"/>
          <w:bCs/>
          <w:sz w:val="32"/>
          <w:szCs w:val="32"/>
        </w:rPr>
        <w:t>用于与相关单位工作交流</w:t>
      </w:r>
      <w:r>
        <w:rPr>
          <w:rFonts w:hint="eastAsia" w:ascii="仿宋" w:hAnsi="仿宋" w:eastAsia="仿宋" w:cs="仿宋"/>
          <w:b w:val="0"/>
          <w:bCs/>
          <w:sz w:val="32"/>
          <w:szCs w:val="32"/>
          <w:lang w:eastAsia="zh-CN"/>
        </w:rPr>
        <w:t>开支</w:t>
      </w:r>
      <w:r>
        <w:rPr>
          <w:rFonts w:hint="eastAsia" w:ascii="仿宋" w:hAnsi="仿宋" w:eastAsia="仿宋" w:cs="仿宋"/>
          <w:b w:val="0"/>
          <w:bCs/>
          <w:sz w:val="32"/>
          <w:szCs w:val="32"/>
        </w:rPr>
        <w:t>的餐费等支出</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348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2.72</w:t>
      </w:r>
      <w:r>
        <w:rPr>
          <w:rFonts w:hint="eastAsia" w:ascii="仿宋_GB2312" w:eastAsia="仿宋_GB2312"/>
          <w:color w:val="auto"/>
          <w:sz w:val="32"/>
          <w:szCs w:val="32"/>
          <w:highlight w:val="none"/>
        </w:rPr>
        <w:t>万元，具体内容包括：</w:t>
      </w:r>
      <w:r>
        <w:rPr>
          <w:rFonts w:hint="eastAsia" w:ascii="仿宋" w:hAnsi="仿宋" w:eastAsia="仿宋" w:cs="仿宋"/>
          <w:b w:val="0"/>
          <w:bCs/>
          <w:color w:val="000000"/>
          <w:sz w:val="32"/>
          <w:szCs w:val="32"/>
          <w:lang w:eastAsia="zh-CN"/>
        </w:rPr>
        <w:t>接待餐费</w:t>
      </w:r>
      <w:r>
        <w:rPr>
          <w:rFonts w:hint="eastAsia" w:ascii="仿宋" w:hAnsi="仿宋" w:eastAsia="仿宋" w:cs="仿宋"/>
          <w:b w:val="0"/>
          <w:bCs/>
          <w:color w:val="000000"/>
          <w:sz w:val="32"/>
          <w:szCs w:val="32"/>
          <w:lang w:val="en-US" w:eastAsia="zh-CN"/>
        </w:rPr>
        <w:t>2.72</w:t>
      </w:r>
      <w:r>
        <w:rPr>
          <w:rFonts w:hint="eastAsia" w:ascii="仿宋" w:hAnsi="仿宋" w:eastAsia="仿宋" w:cs="仿宋"/>
          <w:b w:val="0"/>
          <w:bCs/>
          <w:color w:val="000000"/>
          <w:sz w:val="32"/>
          <w:szCs w:val="32"/>
        </w:rPr>
        <w:t>万元</w:t>
      </w:r>
      <w:r>
        <w:rPr>
          <w:rFonts w:hint="eastAsia" w:ascii="仿宋_GB2312" w:eastAsia="仿宋_GB2312"/>
          <w:color w:val="auto"/>
          <w:sz w:val="32"/>
          <w:szCs w:val="32"/>
          <w:highlight w:val="none"/>
        </w:rPr>
        <w:t>。</w:t>
      </w:r>
    </w:p>
    <w:p>
      <w:pPr>
        <w:spacing w:line="600" w:lineRule="exact"/>
        <w:ind w:firstLine="640"/>
        <w:outlineLvl w:val="1"/>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77218"/>
      <w:bookmarkStart w:id="41" w:name="_Toc15396610"/>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7"/>
          <w:rFonts w:ascii="黑体" w:hAnsi="黑体" w:eastAsia="黑体"/>
          <w:b w:val="0"/>
          <w:color w:val="auto"/>
          <w:highlight w:val="none"/>
        </w:rPr>
      </w:pPr>
      <w:bookmarkStart w:id="42" w:name="_Toc15377219"/>
      <w:bookmarkStart w:id="43" w:name="_Toc15396611"/>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27"/>
          <w:rFonts w:hint="eastAsia" w:ascii="黑体" w:hAnsi="黑体" w:eastAsia="黑体"/>
          <w:b w:val="0"/>
          <w:color w:val="auto"/>
          <w:highlight w:val="none"/>
        </w:rPr>
      </w:pPr>
      <w:bookmarkStart w:id="44" w:name="_Toc15377221"/>
      <w:bookmarkStart w:id="45" w:name="_Toc15396612"/>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内江开放大学</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内江开放大学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内江开放大学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 w:hAnsi="仿宋" w:eastAsia="仿宋" w:cs="仿宋"/>
          <w:b w:val="0"/>
          <w:bCs w:val="0"/>
          <w:color w:val="000000" w:themeColor="text1"/>
          <w:sz w:val="32"/>
          <w:szCs w:val="32"/>
          <w14:textFill>
            <w14:solidFill>
              <w14:schemeClr w14:val="tx1"/>
            </w14:solidFill>
          </w14:textFill>
        </w:rPr>
        <w:t>保障我校</w:t>
      </w:r>
      <w:r>
        <w:rPr>
          <w:rFonts w:hint="eastAsia" w:ascii="仿宋" w:hAnsi="仿宋" w:eastAsia="仿宋" w:cs="仿宋"/>
          <w:b w:val="0"/>
          <w:bCs w:val="0"/>
          <w:color w:val="000000" w:themeColor="text1"/>
          <w:sz w:val="32"/>
          <w:szCs w:val="32"/>
          <w:lang w:eastAsia="zh-CN"/>
          <w14:textFill>
            <w14:solidFill>
              <w14:schemeClr w14:val="tx1"/>
            </w14:solidFill>
          </w14:textFill>
        </w:rPr>
        <w:t>党建、脱贫攻坚、疫情防控、</w:t>
      </w:r>
      <w:r>
        <w:rPr>
          <w:rFonts w:hint="eastAsia" w:ascii="仿宋" w:hAnsi="仿宋" w:eastAsia="仿宋" w:cs="仿宋"/>
          <w:b w:val="0"/>
          <w:bCs w:val="0"/>
          <w:color w:val="000000" w:themeColor="text1"/>
          <w:sz w:val="32"/>
          <w:szCs w:val="32"/>
          <w14:textFill>
            <w14:solidFill>
              <w14:schemeClr w14:val="tx1"/>
            </w14:solidFill>
          </w14:textFill>
        </w:rPr>
        <w:t>培训等工作开展所需的公务用车</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0台（套）</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“教育教学等工作经费、</w:t>
      </w:r>
      <w:r>
        <w:rPr>
          <w:rFonts w:hint="eastAsia" w:ascii="仿宋_GB2312" w:eastAsia="仿宋_GB2312"/>
          <w:color w:val="333333"/>
          <w:sz w:val="32"/>
          <w:szCs w:val="32"/>
          <w:lang w:val="en-US" w:eastAsia="zh-CN"/>
        </w:rPr>
        <w:t>校园边坡垮塌排危工程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开展了预算事前绩效评估，对项目编制了绩效目标，预算执行过程中，选取项目开展绩效监控，年终执行完毕后，对</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pPr>
        <w:pStyle w:val="2"/>
        <w:rPr>
          <w:rFonts w:hint="eastAsia"/>
        </w:rPr>
      </w:pPr>
    </w:p>
    <w:p>
      <w:pPr>
        <w:numPr>
          <w:ilvl w:val="0"/>
          <w:numId w:val="5"/>
        </w:numPr>
        <w:spacing w:line="600" w:lineRule="exact"/>
        <w:ind w:firstLine="660" w:firstLineChars="150"/>
        <w:jc w:val="center"/>
        <w:outlineLvl w:val="0"/>
      </w:pPr>
      <w:bookmarkStart w:id="49" w:name="_Toc15377225"/>
      <w:bookmarkStart w:id="5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pStyle w:val="24"/>
        <w:spacing w:line="560" w:lineRule="exact"/>
        <w:ind w:firstLine="640" w:firstLineChars="200"/>
        <w:rPr>
          <w:rFonts w:hint="eastAsia" w:ascii="仿宋" w:hAnsi="仿宋" w:eastAsia="仿宋" w:cs="仿宋"/>
          <w:sz w:val="32"/>
          <w:szCs w:val="32"/>
        </w:rPr>
      </w:pPr>
      <w:bookmarkStart w:id="51" w:name="_Toc15377226"/>
      <w:r>
        <w:rPr>
          <w:rFonts w:hint="eastAsia" w:ascii="仿宋" w:hAnsi="仿宋" w:eastAsia="仿宋" w:cs="仿宋"/>
          <w:sz w:val="32"/>
          <w:szCs w:val="32"/>
        </w:rPr>
        <w:t>1.财政拨款收入：指</w:t>
      </w:r>
      <w:r>
        <w:rPr>
          <w:rFonts w:hint="eastAsia" w:ascii="仿宋" w:hAnsi="仿宋" w:eastAsia="仿宋" w:cs="仿宋"/>
          <w:sz w:val="32"/>
          <w:szCs w:val="32"/>
          <w:lang w:eastAsia="zh-CN"/>
        </w:rPr>
        <w:t>单位从同</w:t>
      </w:r>
      <w:r>
        <w:rPr>
          <w:rFonts w:hint="eastAsia" w:ascii="仿宋" w:hAnsi="仿宋" w:eastAsia="仿宋" w:cs="仿宋"/>
          <w:sz w:val="32"/>
          <w:szCs w:val="32"/>
        </w:rPr>
        <w:t>级财政</w:t>
      </w:r>
      <w:r>
        <w:rPr>
          <w:rFonts w:hint="eastAsia" w:ascii="仿宋" w:hAnsi="仿宋" w:eastAsia="仿宋" w:cs="仿宋"/>
          <w:sz w:val="32"/>
          <w:szCs w:val="32"/>
          <w:lang w:eastAsia="zh-CN"/>
        </w:rPr>
        <w:t>部门取得的财政预算</w:t>
      </w:r>
      <w:r>
        <w:rPr>
          <w:rFonts w:hint="eastAsia" w:ascii="仿宋" w:hAnsi="仿宋" w:eastAsia="仿宋" w:cs="仿宋"/>
          <w:sz w:val="32"/>
          <w:szCs w:val="32"/>
        </w:rPr>
        <w:t>资金。</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pStyle w:val="24"/>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3.经营收入：指事业单位在专业业务活动及其辅助活动之外开展非独立核算经营活动取得的收入。</w:t>
      </w:r>
    </w:p>
    <w:p>
      <w:pPr>
        <w:pStyle w:val="24"/>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4.其他收入：指单位取得的除上述收入以外的各项收入。</w:t>
      </w:r>
    </w:p>
    <w:p>
      <w:pPr>
        <w:pStyle w:val="24"/>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5.使用非财政拨款结余：指事业单位使用以前年度积累的非财政拨款结余弥补当年收支差额的金额。</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.年初结转和结余：指以前年度尚未完成、结转到本年按有关规定继续使用的资金。</w:t>
      </w:r>
    </w:p>
    <w:p>
      <w:pPr>
        <w:pStyle w:val="24"/>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7.结余分配：指事业单位按照会计制度规定缴纳的所得税、提取的专用结余以及转入非财政拨款结余的金额等。</w:t>
      </w:r>
    </w:p>
    <w:p>
      <w:pPr>
        <w:pStyle w:val="24"/>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8.年末结转和结余：指单位按有关规定结转到下年或以后年度继续使用的资金。</w:t>
      </w:r>
    </w:p>
    <w:p>
      <w:pPr>
        <w:pStyle w:val="24"/>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.教育支出（类）进修及培训（款）</w:t>
      </w:r>
      <w:r>
        <w:rPr>
          <w:rFonts w:hint="eastAsia" w:ascii="仿宋" w:hAnsi="仿宋" w:eastAsia="仿宋" w:cs="仿宋"/>
          <w:sz w:val="32"/>
          <w:szCs w:val="32"/>
          <w:lang w:eastAsia="zh-CN"/>
        </w:rPr>
        <w:t>培训支出</w:t>
      </w:r>
      <w:r>
        <w:rPr>
          <w:rFonts w:hint="eastAsia" w:ascii="仿宋" w:hAnsi="仿宋" w:eastAsia="仿宋" w:cs="仿宋"/>
          <w:sz w:val="32"/>
          <w:szCs w:val="32"/>
        </w:rPr>
        <w:t>（项）</w:t>
      </w:r>
      <w:r>
        <w:rPr>
          <w:rFonts w:hint="eastAsia" w:ascii="仿宋" w:hAnsi="仿宋" w:eastAsia="仿宋" w:cs="仿宋"/>
          <w:sz w:val="32"/>
          <w:szCs w:val="32"/>
          <w:lang w:eastAsia="zh-CN"/>
        </w:rPr>
        <w:t>：指单位用于职工培训支出。</w:t>
      </w:r>
    </w:p>
    <w:p>
      <w:pPr>
        <w:pStyle w:val="24"/>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10.社会保障和就业支出（类）行政事业单位养老支出（款）行政单位离退休（项）：</w:t>
      </w:r>
      <w:r>
        <w:rPr>
          <w:rFonts w:hint="eastAsia" w:ascii="仿宋" w:hAnsi="仿宋" w:eastAsia="仿宋" w:cs="仿宋"/>
          <w:sz w:val="32"/>
          <w:szCs w:val="32"/>
        </w:rPr>
        <w:t>指单位用于</w:t>
      </w:r>
      <w:r>
        <w:rPr>
          <w:rFonts w:hint="eastAsia" w:ascii="仿宋" w:hAnsi="仿宋" w:eastAsia="仿宋" w:cs="仿宋"/>
          <w:sz w:val="32"/>
          <w:szCs w:val="32"/>
          <w:lang w:eastAsia="zh-CN"/>
        </w:rPr>
        <w:t>离休职工的工资及离退休职工的公用经费。</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hAnsi="仿宋" w:cs="仿宋"/>
          <w:sz w:val="32"/>
          <w:szCs w:val="32"/>
          <w:lang w:val="en-US" w:eastAsia="zh-CN"/>
        </w:rPr>
        <w:t>1</w:t>
      </w:r>
      <w:r>
        <w:rPr>
          <w:rFonts w:hint="eastAsia" w:ascii="仿宋" w:hAnsi="仿宋" w:eastAsia="仿宋" w:cs="仿宋"/>
          <w:sz w:val="32"/>
          <w:szCs w:val="32"/>
          <w:lang w:val="en-US" w:eastAsia="zh-CN"/>
        </w:rPr>
        <w:t>.社会保障和就业支出（类）行政事业单位养老支出（款）机关事业单位基本养老保险缴费支出（项）：指</w:t>
      </w:r>
      <w:r>
        <w:rPr>
          <w:rFonts w:hint="eastAsia" w:ascii="仿宋" w:hAnsi="仿宋" w:eastAsia="仿宋" w:cs="仿宋"/>
          <w:sz w:val="32"/>
          <w:szCs w:val="32"/>
        </w:rPr>
        <w:t>单位用于缴纳</w:t>
      </w:r>
      <w:r>
        <w:rPr>
          <w:rFonts w:hint="eastAsia" w:ascii="仿宋" w:hAnsi="仿宋" w:eastAsia="仿宋" w:cs="仿宋"/>
          <w:sz w:val="32"/>
          <w:szCs w:val="32"/>
          <w:lang w:eastAsia="zh-CN"/>
        </w:rPr>
        <w:t>职工养老</w:t>
      </w:r>
      <w:r>
        <w:rPr>
          <w:rFonts w:hint="eastAsia" w:ascii="仿宋" w:hAnsi="仿宋" w:eastAsia="仿宋" w:cs="仿宋"/>
          <w:sz w:val="32"/>
          <w:szCs w:val="32"/>
        </w:rPr>
        <w:t>保险支出。</w:t>
      </w:r>
    </w:p>
    <w:p>
      <w:pPr>
        <w:pStyle w:val="24"/>
        <w:spacing w:line="480" w:lineRule="auto"/>
        <w:ind w:firstLine="640" w:firstLineChars="200"/>
        <w:rPr>
          <w:rFonts w:hint="eastAsia" w:ascii="仿宋" w:hAnsi="仿宋" w:eastAsia="仿宋" w:cs="仿宋"/>
          <w:sz w:val="32"/>
          <w:szCs w:val="32"/>
        </w:rPr>
      </w:pPr>
      <w:r>
        <w:rPr>
          <w:rFonts w:hint="eastAsia" w:hAnsi="仿宋" w:cs="仿宋"/>
          <w:sz w:val="32"/>
          <w:szCs w:val="32"/>
          <w:lang w:val="en-US" w:eastAsia="zh-CN"/>
        </w:rPr>
        <w:t>12</w:t>
      </w:r>
      <w:r>
        <w:rPr>
          <w:rFonts w:hint="eastAsia" w:ascii="仿宋" w:hAnsi="仿宋" w:eastAsia="仿宋" w:cs="仿宋"/>
          <w:sz w:val="32"/>
          <w:szCs w:val="32"/>
          <w:lang w:val="en-US" w:eastAsia="zh-CN"/>
        </w:rPr>
        <w:t>.社会保障和就业支出（类）行政事业单位养老支出（款）</w:t>
      </w:r>
      <w:r>
        <w:rPr>
          <w:rFonts w:hint="eastAsia" w:hAnsi="仿宋" w:cs="仿宋"/>
          <w:sz w:val="32"/>
          <w:szCs w:val="32"/>
          <w:lang w:val="en-US" w:eastAsia="zh-CN"/>
        </w:rPr>
        <w:t>其他</w:t>
      </w:r>
      <w:r>
        <w:rPr>
          <w:rFonts w:hint="eastAsia" w:hAnsi="仿宋" w:cs="仿宋"/>
          <w:i w:val="0"/>
          <w:iCs w:val="0"/>
          <w:sz w:val="32"/>
          <w:szCs w:val="32"/>
          <w:lang w:val="en-US" w:eastAsia="zh-CN"/>
        </w:rPr>
        <w:t>行政</w:t>
      </w:r>
      <w:r>
        <w:rPr>
          <w:rFonts w:hint="eastAsia" w:ascii="仿宋" w:hAnsi="仿宋" w:eastAsia="仿宋" w:cs="仿宋"/>
          <w:sz w:val="32"/>
          <w:szCs w:val="32"/>
          <w:lang w:val="en-US" w:eastAsia="zh-CN"/>
        </w:rPr>
        <w:t>事业单位</w:t>
      </w:r>
      <w:r>
        <w:rPr>
          <w:rFonts w:hint="eastAsia" w:hAnsi="仿宋" w:cs="仿宋"/>
          <w:sz w:val="32"/>
          <w:szCs w:val="32"/>
          <w:lang w:val="en-US" w:eastAsia="zh-CN"/>
        </w:rPr>
        <w:t>养老</w:t>
      </w:r>
      <w:r>
        <w:rPr>
          <w:rFonts w:hint="eastAsia" w:ascii="仿宋" w:hAnsi="仿宋" w:eastAsia="仿宋" w:cs="仿宋"/>
          <w:sz w:val="32"/>
          <w:szCs w:val="32"/>
          <w:lang w:val="en-US" w:eastAsia="zh-CN"/>
        </w:rPr>
        <w:t>支出（项）：</w:t>
      </w:r>
      <w:r>
        <w:rPr>
          <w:rFonts w:hint="eastAsia" w:ascii="仿宋" w:hAnsi="仿宋" w:eastAsia="仿宋" w:cs="仿宋"/>
          <w:sz w:val="32"/>
          <w:szCs w:val="32"/>
        </w:rPr>
        <w:t>指单位用于</w:t>
      </w:r>
      <w:r>
        <w:rPr>
          <w:rFonts w:hint="eastAsia" w:hAnsi="仿宋" w:cs="仿宋"/>
          <w:sz w:val="32"/>
          <w:szCs w:val="32"/>
          <w:lang w:eastAsia="zh-CN"/>
        </w:rPr>
        <w:t>离</w:t>
      </w:r>
      <w:r>
        <w:rPr>
          <w:rFonts w:hint="eastAsia" w:ascii="仿宋" w:hAnsi="仿宋" w:eastAsia="仿宋" w:cs="仿宋"/>
          <w:sz w:val="32"/>
          <w:szCs w:val="32"/>
          <w:lang w:eastAsia="zh-CN"/>
        </w:rPr>
        <w:t>退休职工的</w:t>
      </w:r>
      <w:r>
        <w:rPr>
          <w:rFonts w:hint="eastAsia" w:hAnsi="仿宋" w:cs="仿宋"/>
          <w:sz w:val="32"/>
          <w:szCs w:val="32"/>
          <w:lang w:eastAsia="zh-CN"/>
        </w:rPr>
        <w:t>抚恤金</w:t>
      </w:r>
      <w:r>
        <w:rPr>
          <w:rFonts w:hint="eastAsia" w:ascii="仿宋" w:hAnsi="仿宋" w:eastAsia="仿宋" w:cs="仿宋"/>
          <w:sz w:val="32"/>
          <w:szCs w:val="32"/>
          <w:lang w:eastAsia="zh-CN"/>
        </w:rPr>
        <w:t>支出。</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13.社会保障和就业支出（类）行政事业单位养老支出（款）机关事业单位职业年金缴费支出（项）：</w:t>
      </w:r>
      <w:r>
        <w:rPr>
          <w:rFonts w:hint="eastAsia" w:ascii="仿宋" w:hAnsi="仿宋" w:eastAsia="仿宋" w:cs="仿宋"/>
          <w:sz w:val="32"/>
          <w:szCs w:val="32"/>
        </w:rPr>
        <w:t>指单位用于缴纳</w:t>
      </w:r>
      <w:r>
        <w:rPr>
          <w:rFonts w:hint="eastAsia" w:ascii="仿宋" w:hAnsi="仿宋" w:eastAsia="仿宋" w:cs="仿宋"/>
          <w:sz w:val="32"/>
          <w:szCs w:val="32"/>
          <w:lang w:eastAsia="zh-CN"/>
        </w:rPr>
        <w:t>退休职工的职业年金记实支出。</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w:t>
      </w:r>
      <w:r>
        <w:rPr>
          <w:rFonts w:hint="eastAsia" w:hAnsi="仿宋" w:cs="仿宋"/>
          <w:sz w:val="32"/>
          <w:szCs w:val="32"/>
          <w:lang w:eastAsia="zh-CN"/>
        </w:rPr>
        <w:t>卫生健康支出</w:t>
      </w:r>
      <w:r>
        <w:rPr>
          <w:rFonts w:hint="eastAsia" w:ascii="仿宋" w:hAnsi="仿宋" w:eastAsia="仿宋" w:cs="仿宋"/>
          <w:sz w:val="32"/>
          <w:szCs w:val="32"/>
        </w:rPr>
        <w:t>（类）行政事业单位医疗（款）</w:t>
      </w:r>
      <w:r>
        <w:rPr>
          <w:rFonts w:hint="eastAsia" w:hAnsi="仿宋" w:cs="仿宋"/>
          <w:sz w:val="32"/>
          <w:szCs w:val="32"/>
          <w:lang w:eastAsia="zh-CN"/>
        </w:rPr>
        <w:t>事业</w:t>
      </w:r>
      <w:r>
        <w:rPr>
          <w:rFonts w:hint="eastAsia" w:ascii="仿宋" w:hAnsi="仿宋" w:eastAsia="仿宋" w:cs="仿宋"/>
          <w:sz w:val="32"/>
          <w:szCs w:val="32"/>
        </w:rPr>
        <w:t>单位医疗（项）：指单位用于缴纳</w:t>
      </w:r>
      <w:r>
        <w:rPr>
          <w:rFonts w:hint="eastAsia" w:ascii="仿宋" w:hAnsi="仿宋" w:eastAsia="仿宋" w:cs="仿宋"/>
          <w:sz w:val="32"/>
          <w:szCs w:val="32"/>
          <w:lang w:eastAsia="zh-CN"/>
        </w:rPr>
        <w:t>职工</w:t>
      </w:r>
      <w:r>
        <w:rPr>
          <w:rFonts w:hint="eastAsia" w:ascii="仿宋" w:hAnsi="仿宋" w:eastAsia="仿宋" w:cs="仿宋"/>
          <w:sz w:val="32"/>
          <w:szCs w:val="32"/>
        </w:rPr>
        <w:t>基本医疗保险支出。</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hAnsi="仿宋" w:cs="仿宋"/>
          <w:sz w:val="32"/>
          <w:szCs w:val="32"/>
          <w:lang w:val="en-US" w:eastAsia="zh-CN"/>
        </w:rPr>
        <w:t>5</w:t>
      </w:r>
      <w:r>
        <w:rPr>
          <w:rFonts w:hint="eastAsia" w:ascii="仿宋" w:hAnsi="仿宋" w:eastAsia="仿宋" w:cs="仿宋"/>
          <w:sz w:val="32"/>
          <w:szCs w:val="32"/>
        </w:rPr>
        <w:t>.</w:t>
      </w:r>
      <w:r>
        <w:rPr>
          <w:rFonts w:hint="eastAsia" w:hAnsi="仿宋" w:cs="仿宋"/>
          <w:sz w:val="32"/>
          <w:szCs w:val="32"/>
          <w:lang w:eastAsia="zh-CN"/>
        </w:rPr>
        <w:t>卫生健康支出</w:t>
      </w:r>
      <w:r>
        <w:rPr>
          <w:rFonts w:hint="eastAsia" w:ascii="仿宋" w:hAnsi="仿宋" w:eastAsia="仿宋" w:cs="仿宋"/>
          <w:sz w:val="32"/>
          <w:szCs w:val="32"/>
        </w:rPr>
        <w:t>（类）行政事业单位医疗（款）</w:t>
      </w:r>
      <w:r>
        <w:rPr>
          <w:rFonts w:hint="eastAsia" w:hAnsi="仿宋" w:cs="仿宋"/>
          <w:sz w:val="32"/>
          <w:szCs w:val="32"/>
          <w:lang w:eastAsia="zh-CN"/>
        </w:rPr>
        <w:t>公务员</w:t>
      </w:r>
      <w:r>
        <w:rPr>
          <w:rFonts w:hint="eastAsia" w:ascii="仿宋" w:hAnsi="仿宋" w:eastAsia="仿宋" w:cs="仿宋"/>
          <w:sz w:val="32"/>
          <w:szCs w:val="32"/>
        </w:rPr>
        <w:t>医疗</w:t>
      </w:r>
      <w:r>
        <w:rPr>
          <w:rFonts w:hint="eastAsia" w:hAnsi="仿宋" w:cs="仿宋"/>
          <w:sz w:val="32"/>
          <w:szCs w:val="32"/>
          <w:lang w:eastAsia="zh-CN"/>
        </w:rPr>
        <w:t>补助</w:t>
      </w:r>
      <w:r>
        <w:rPr>
          <w:rFonts w:hint="eastAsia" w:ascii="仿宋" w:hAnsi="仿宋" w:eastAsia="仿宋" w:cs="仿宋"/>
          <w:sz w:val="32"/>
          <w:szCs w:val="32"/>
        </w:rPr>
        <w:t>（项）：指单位用于缴纳</w:t>
      </w:r>
      <w:r>
        <w:rPr>
          <w:rFonts w:hint="eastAsia" w:ascii="仿宋" w:hAnsi="仿宋" w:eastAsia="仿宋" w:cs="仿宋"/>
          <w:sz w:val="32"/>
          <w:szCs w:val="32"/>
          <w:lang w:eastAsia="zh-CN"/>
        </w:rPr>
        <w:t>职工</w:t>
      </w:r>
      <w:r>
        <w:rPr>
          <w:rFonts w:hint="eastAsia" w:hAnsi="仿宋" w:cs="仿宋"/>
          <w:sz w:val="32"/>
          <w:szCs w:val="32"/>
          <w:lang w:eastAsia="zh-CN"/>
        </w:rPr>
        <w:t>补助</w:t>
      </w:r>
      <w:r>
        <w:rPr>
          <w:rFonts w:hint="eastAsia" w:ascii="仿宋" w:hAnsi="仿宋" w:eastAsia="仿宋" w:cs="仿宋"/>
          <w:sz w:val="32"/>
          <w:szCs w:val="32"/>
        </w:rPr>
        <w:t>医疗保险支出。</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hAnsi="仿宋" w:cs="仿宋"/>
          <w:sz w:val="32"/>
          <w:szCs w:val="32"/>
          <w:lang w:val="en-US" w:eastAsia="zh-CN"/>
        </w:rPr>
        <w:t>6</w:t>
      </w:r>
      <w:r>
        <w:rPr>
          <w:rFonts w:hint="eastAsia" w:ascii="仿宋" w:hAnsi="仿宋" w:eastAsia="仿宋" w:cs="仿宋"/>
          <w:sz w:val="32"/>
          <w:szCs w:val="32"/>
          <w:lang w:val="en-US" w:eastAsia="zh-CN"/>
        </w:rPr>
        <w:t>.</w:t>
      </w:r>
      <w:r>
        <w:rPr>
          <w:rFonts w:hint="eastAsia" w:ascii="仿宋" w:hAnsi="仿宋" w:eastAsia="仿宋" w:cs="仿宋"/>
          <w:sz w:val="32"/>
          <w:szCs w:val="32"/>
        </w:rPr>
        <w:t>住房保障</w:t>
      </w:r>
      <w:r>
        <w:rPr>
          <w:rFonts w:hint="eastAsia" w:hAnsi="仿宋" w:cs="仿宋"/>
          <w:sz w:val="32"/>
          <w:szCs w:val="32"/>
          <w:lang w:eastAsia="zh-CN"/>
        </w:rPr>
        <w:t>支出</w:t>
      </w:r>
      <w:r>
        <w:rPr>
          <w:rFonts w:hint="eastAsia" w:ascii="仿宋" w:hAnsi="仿宋" w:eastAsia="仿宋" w:cs="仿宋"/>
          <w:sz w:val="32"/>
          <w:szCs w:val="32"/>
        </w:rPr>
        <w:t>（类）住房改革支出（款）住房公积金（项）：指单位按照《住房公积金管理条例》的规定，</w:t>
      </w:r>
      <w:r>
        <w:rPr>
          <w:rFonts w:hint="eastAsia" w:ascii="仿宋" w:hAnsi="仿宋" w:eastAsia="仿宋" w:cs="仿宋"/>
          <w:sz w:val="32"/>
          <w:szCs w:val="32"/>
          <w:lang w:eastAsia="zh-CN"/>
        </w:rPr>
        <w:t>为</w:t>
      </w:r>
      <w:r>
        <w:rPr>
          <w:rFonts w:hint="eastAsia" w:ascii="仿宋" w:hAnsi="仿宋" w:eastAsia="仿宋" w:cs="仿宋"/>
          <w:sz w:val="32"/>
          <w:szCs w:val="32"/>
        </w:rPr>
        <w:t>职工缴存的</w:t>
      </w:r>
      <w:r>
        <w:rPr>
          <w:rFonts w:hint="eastAsia" w:ascii="仿宋" w:hAnsi="仿宋" w:eastAsia="仿宋" w:cs="仿宋"/>
          <w:sz w:val="32"/>
          <w:szCs w:val="32"/>
          <w:lang w:eastAsia="zh-CN"/>
        </w:rPr>
        <w:t>住房公积金</w:t>
      </w:r>
      <w:r>
        <w:rPr>
          <w:rFonts w:hint="eastAsia" w:ascii="仿宋" w:hAnsi="仿宋" w:eastAsia="仿宋" w:cs="仿宋"/>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.项目支出：指在基本支出之外为完成特定行政任务和事业发展目标所发生的支出。</w:t>
      </w:r>
    </w:p>
    <w:p>
      <w:pPr>
        <w:pStyle w:val="2"/>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19.经营支出：指事业单位在专业业务活动及其辅助活动之外开展非独立核算经营活动发生的支出。</w:t>
      </w:r>
    </w:p>
    <w:p>
      <w:pPr>
        <w:pStyle w:val="24"/>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20</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21</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color w:val="auto"/>
          <w:highlight w:val="none"/>
        </w:rPr>
      </w:pP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eastAsia="zh-CN"/>
        </w:rPr>
        <w:t>一</w:t>
      </w:r>
    </w:p>
    <w:tbl>
      <w:tblPr>
        <w:tblStyle w:val="14"/>
        <w:tblpPr w:leftFromText="180" w:rightFromText="180" w:vertAnchor="text" w:horzAnchor="page" w:tblpX="1300" w:tblpY="181"/>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963"/>
        <w:gridCol w:w="1575"/>
        <w:gridCol w:w="1428"/>
        <w:gridCol w:w="1437"/>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内江市教育局</w:t>
            </w:r>
            <w:r>
              <w:rPr>
                <w:rFonts w:hint="eastAsia" w:ascii="宋体" w:hAnsi="宋体" w:cs="宋体"/>
                <w:i w:val="0"/>
                <w:color w:val="auto"/>
                <w:sz w:val="24"/>
                <w:szCs w:val="24"/>
                <w:u w:val="none"/>
                <w:lang w:val="en-US" w:eastAsia="zh-CN"/>
              </w:rPr>
              <w:t xml:space="preserve">  305916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内江开放大学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9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9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t>我校主要开展成人高等教育，专业众多，外聘教师数量较大，但学校实际在职在编人员仅33名，远远不能满足教学和管理的需要。外聘教师进行学校招生、教学管理、授课等工作。所聘教师的工资待遇参照事业, 单位编外工作人员管理办法，202</w:t>
            </w:r>
            <w:r>
              <w:rPr>
                <w:rFonts w:hint="eastAsia"/>
                <w:lang w:val="en-US" w:eastAsia="zh-CN"/>
              </w:rPr>
              <w:t>1</w:t>
            </w:r>
            <w:r>
              <w:t>年1-12月，所需聘用人员劳务费100万元。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t>我校主要开展成人高等教育，专业众多，外聘教师数量较大，但学校实际在职在编人员仅33名，远远不能满足教学和管理的需要。外聘教师进行学校招生、教学管理、授课等工作。所聘教师的工资待遇参照事业单位编外工作人员管理办法，202</w:t>
            </w:r>
            <w:r>
              <w:rPr>
                <w:rFonts w:hint="eastAsia"/>
                <w:lang w:val="en-US" w:eastAsia="zh-CN"/>
              </w:rPr>
              <w:t>1</w:t>
            </w:r>
            <w:r>
              <w:t>年1-12月，实际支付聘用人员劳务费100万元。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年度绩效指标完成情况</w:t>
            </w:r>
          </w:p>
        </w:tc>
        <w:tc>
          <w:tcPr>
            <w:tcW w:w="9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预期指标值</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指标</w:t>
            </w:r>
          </w:p>
        </w:tc>
        <w:tc>
          <w:tcPr>
            <w:tcW w:w="157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数量指标</w:t>
            </w:r>
          </w:p>
        </w:tc>
        <w:tc>
          <w:tcPr>
            <w:tcW w:w="142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管理学生人数（名）</w:t>
            </w:r>
          </w:p>
        </w:tc>
        <w:tc>
          <w:tcPr>
            <w:tcW w:w="143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5500</w:t>
            </w:r>
          </w:p>
        </w:tc>
        <w:tc>
          <w:tcPr>
            <w:tcW w:w="2197"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ind w:left="0" w:leftChars="0"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auto"/>
                <w:sz w:val="24"/>
                <w:szCs w:val="24"/>
                <w:u w:val="none"/>
                <w:lang w:val="en-US" w:eastAsia="zh-CN"/>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5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428"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本科论文评审人数</w:t>
            </w:r>
          </w:p>
        </w:tc>
        <w:tc>
          <w:tcPr>
            <w:tcW w:w="1437"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800人</w:t>
            </w:r>
          </w:p>
        </w:tc>
        <w:tc>
          <w:tcPr>
            <w:tcW w:w="2197"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5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428"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年招生计划完成人数</w:t>
            </w:r>
          </w:p>
        </w:tc>
        <w:tc>
          <w:tcPr>
            <w:tcW w:w="1437"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1200人</w:t>
            </w:r>
          </w:p>
        </w:tc>
        <w:tc>
          <w:tcPr>
            <w:tcW w:w="2197"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质量指标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eastAsia="zh-CN"/>
              </w:rPr>
              <w:t>学生毕业率（</w:t>
            </w:r>
            <w:r>
              <w:rPr>
                <w:rFonts w:hint="eastAsia" w:asciiTheme="minorEastAsia" w:hAnsiTheme="minorEastAsia" w:eastAsiaTheme="minorEastAsia" w:cstheme="minorEastAsia"/>
                <w:i w:val="0"/>
                <w:color w:val="auto"/>
                <w:sz w:val="24"/>
                <w:szCs w:val="24"/>
                <w:u w:val="none"/>
                <w:lang w:val="en-US" w:eastAsia="zh-CN"/>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毕业生毕业率=本学年获得毕业证人数/本学年正式注册学籍人数*100%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时效指标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完成时间节点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eastAsia="zh-CN"/>
              </w:rPr>
              <w:t>截止到</w:t>
            </w:r>
            <w:r>
              <w:rPr>
                <w:rFonts w:hint="eastAsia" w:asciiTheme="minorEastAsia" w:hAnsiTheme="minorEastAsia" w:eastAsiaTheme="minorEastAsia" w:cstheme="minorEastAsia"/>
                <w:i w:val="0"/>
                <w:color w:val="auto"/>
                <w:sz w:val="24"/>
                <w:szCs w:val="24"/>
                <w:u w:val="none"/>
                <w:lang w:val="en-US" w:eastAsia="zh-CN"/>
              </w:rPr>
              <w:t>2021年12月31日</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截止到2021年12月31日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成本指标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成本控制额</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成本控制额</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效益</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经济效益  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社会效益  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提升市民学历，培养内江当地人才（名）</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1200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生态效益  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8"/>
                <w:szCs w:val="28"/>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可持续影响 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教育教学管理机制健全性</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rPr>
              <w:t>1、完善成人教育的招生、培养与质量保障制度，提高成人教育质量；2、完善教师专业技术评价制度，为教师发展提供驱动力；3、完善教师培训与专业发展制度，提高在职教师整体素质</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sz w:val="24"/>
                <w:szCs w:val="24"/>
                <w:u w:val="none"/>
              </w:rPr>
              <w:t>注重制度建设，并建立起一系列保障措施和监督执行的机制，加强监督检查工作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满意</w:t>
            </w:r>
            <w:r>
              <w:rPr>
                <w:rFonts w:hint="eastAsia" w:asciiTheme="minorEastAsia" w:hAnsiTheme="minorEastAsia" w:eastAsiaTheme="minorEastAsia" w:cstheme="minorEastAsia"/>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度指标</w:t>
            </w:r>
          </w:p>
        </w:tc>
        <w:tc>
          <w:tcPr>
            <w:tcW w:w="157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指标</w:t>
            </w:r>
          </w:p>
        </w:tc>
        <w:tc>
          <w:tcPr>
            <w:tcW w:w="142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市民满意度</w:t>
            </w:r>
            <w:r>
              <w:rPr>
                <w:rFonts w:hint="eastAsia" w:asciiTheme="minorEastAsia" w:hAnsiTheme="minorEastAsia" w:eastAsiaTheme="minorEastAsia" w:cstheme="minorEastAsia"/>
                <w:i w:val="0"/>
                <w:color w:val="auto"/>
                <w:sz w:val="24"/>
                <w:szCs w:val="24"/>
                <w:u w:val="none"/>
              </w:rPr>
              <w:t>（%）</w:t>
            </w:r>
          </w:p>
        </w:tc>
        <w:tc>
          <w:tcPr>
            <w:tcW w:w="143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93</w:t>
            </w:r>
          </w:p>
        </w:tc>
        <w:tc>
          <w:tcPr>
            <w:tcW w:w="219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5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428"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项目主管部门满意度（%）</w:t>
            </w:r>
          </w:p>
        </w:tc>
        <w:tc>
          <w:tcPr>
            <w:tcW w:w="1437"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92</w:t>
            </w:r>
          </w:p>
        </w:tc>
        <w:tc>
          <w:tcPr>
            <w:tcW w:w="2197"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6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5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u w:val="none"/>
                <w:lang w:val="en-US" w:eastAsia="zh-CN" w:bidi="ar"/>
              </w:rPr>
            </w:pPr>
          </w:p>
        </w:tc>
        <w:tc>
          <w:tcPr>
            <w:tcW w:w="1428"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用人单位满意度（%）</w:t>
            </w:r>
          </w:p>
        </w:tc>
        <w:tc>
          <w:tcPr>
            <w:tcW w:w="1437"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95</w:t>
            </w:r>
          </w:p>
        </w:tc>
        <w:tc>
          <w:tcPr>
            <w:tcW w:w="2197"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95</w:t>
            </w:r>
          </w:p>
        </w:tc>
      </w:tr>
    </w:tbl>
    <w:p>
      <w:pPr>
        <w:spacing w:line="600" w:lineRule="exact"/>
        <w:jc w:val="both"/>
        <w:outlineLvl w:val="0"/>
        <w:rPr>
          <w:rFonts w:hint="eastAsia" w:ascii="黑体" w:hAnsi="黑体" w:eastAsia="黑体"/>
          <w:color w:val="auto"/>
          <w:sz w:val="44"/>
          <w:szCs w:val="44"/>
          <w:highlight w:val="none"/>
        </w:rPr>
      </w:pPr>
    </w:p>
    <w:p>
      <w:pPr>
        <w:spacing w:line="600" w:lineRule="exact"/>
        <w:jc w:val="both"/>
        <w:rPr>
          <w:rFonts w:hint="eastAsia" w:ascii="方正小标宋简体" w:hAnsi="宋体" w:eastAsia="方正小标宋简体"/>
          <w:color w:val="000000"/>
          <w:kern w:val="0"/>
          <w:sz w:val="40"/>
          <w:szCs w:val="44"/>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w:t>
      </w:r>
    </w:p>
    <w:p>
      <w:pPr>
        <w:pStyle w:val="2"/>
        <w:ind w:firstLine="2800" w:firstLineChars="700"/>
        <w:rPr>
          <w:rFonts w:hint="eastAsia"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内江开放大学</w:t>
      </w:r>
    </w:p>
    <w:p>
      <w:pPr>
        <w:spacing w:line="600" w:lineRule="exact"/>
        <w:jc w:val="center"/>
        <w:rPr>
          <w:rFonts w:hint="eastAsia" w:ascii="黑体" w:hAnsi="宋体" w:eastAsia="黑体" w:cs="宋体"/>
          <w:color w:val="000000"/>
          <w:kern w:val="0"/>
          <w:szCs w:val="32"/>
          <w:shd w:val="clear" w:color="auto" w:fill="FFFFFF"/>
        </w:rPr>
      </w:pPr>
      <w:r>
        <w:rPr>
          <w:rFonts w:hint="default" w:ascii="方正小标宋简体" w:hAnsi="宋体" w:eastAsia="方正小标宋简体"/>
          <w:color w:val="000000"/>
          <w:kern w:val="0"/>
          <w:sz w:val="40"/>
          <w:szCs w:val="44"/>
          <w:lang w:val="en-US" w:eastAsia="zh-CN"/>
        </w:rPr>
        <w:t>202</w:t>
      </w:r>
      <w:r>
        <w:rPr>
          <w:rFonts w:hint="eastAsia" w:ascii="方正小标宋简体" w:hAnsi="宋体" w:eastAsia="方正小标宋简体"/>
          <w:color w:val="000000"/>
          <w:kern w:val="0"/>
          <w:sz w:val="40"/>
          <w:szCs w:val="44"/>
          <w:lang w:val="en-US" w:eastAsia="zh-CN"/>
        </w:rPr>
        <w:t>1</w:t>
      </w:r>
      <w:r>
        <w:rPr>
          <w:rFonts w:hint="default" w:ascii="方正小标宋简体" w:hAnsi="宋体" w:eastAsia="方正小标宋简体"/>
          <w:color w:val="000000"/>
          <w:kern w:val="0"/>
          <w:sz w:val="40"/>
          <w:szCs w:val="44"/>
          <w:lang w:val="en-US" w:eastAsia="zh-CN"/>
        </w:rPr>
        <w:t>年单位整体支出绩效评价报告</w:t>
      </w:r>
    </w:p>
    <w:p>
      <w:pPr>
        <w:widowControl/>
        <w:numPr>
          <w:ilvl w:val="0"/>
          <w:numId w:val="6"/>
        </w:numPr>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单位概况</w:t>
      </w:r>
    </w:p>
    <w:p>
      <w:pPr>
        <w:pStyle w:val="9"/>
        <w:numPr>
          <w:ilvl w:val="0"/>
          <w:numId w:val="0"/>
        </w:numPr>
        <w:ind w:firstLine="640" w:firstLineChars="200"/>
        <w:rPr>
          <w:lang w:val="zh-CN"/>
        </w:rPr>
      </w:pPr>
      <w:r>
        <w:rPr>
          <w:rFonts w:hint="eastAsia" w:ascii="仿宋" w:hAnsi="仿宋" w:eastAsia="仿宋" w:cs="Times New Roman"/>
          <w:bCs/>
          <w:color w:val="000000"/>
          <w:kern w:val="0"/>
          <w:sz w:val="32"/>
          <w:szCs w:val="32"/>
          <w:lang w:val="en-US" w:eastAsia="zh-CN" w:bidi="ar-SA"/>
        </w:rPr>
        <w:t>内江开放大学是由市政府主办，市教育局主管，四川开放大学业务指导的一所地方成人高校。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eastAsia="仿宋_GB2312"/>
          <w:color w:val="333333"/>
          <w:sz w:val="32"/>
          <w:szCs w:val="32"/>
        </w:rPr>
        <w:t>学校目前有办公室、教务处、直属部、职教中心、招生办公室、电教信息中心、教学处、总务处等9个处室。</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eastAsia="仿宋_GB2312"/>
          <w:color w:val="333333"/>
          <w:sz w:val="32"/>
          <w:szCs w:val="32"/>
        </w:rPr>
        <w:t>主要开展本专科成人学历教育；承担全市各类学校教职工业务培训和继续教育工作；面向社会开展普通话培训及测试工作；面向社区开展知识普及教育；开展社区教育理论研究和调研，交流社区教育经验，推广社区教育成果，为全市社区教育活动提供支持服务</w:t>
      </w:r>
      <w:r>
        <w:rPr>
          <w:rFonts w:hint="eastAsia" w:ascii="仿宋_GB2312" w:eastAsia="仿宋_GB2312"/>
          <w:color w:val="333333"/>
          <w:sz w:val="32"/>
          <w:szCs w:val="32"/>
          <w:lang w:eastAsia="zh-CN"/>
        </w:rPr>
        <w:t>。</w:t>
      </w:r>
    </w:p>
    <w:p>
      <w:pPr>
        <w:widowControl/>
        <w:adjustRightInd w:val="0"/>
        <w:snapToGrid w:val="0"/>
        <w:spacing w:line="580" w:lineRule="exact"/>
        <w:ind w:firstLine="640" w:firstLineChars="200"/>
        <w:contextualSpacing/>
        <w:jc w:val="left"/>
        <w:rPr>
          <w:rFonts w:hint="eastAsia" w:ascii="仿宋_GB2312" w:eastAsia="仿宋_GB2312"/>
          <w:color w:val="333333"/>
          <w:sz w:val="32"/>
          <w:szCs w:val="32"/>
          <w:lang w:val="zh-CN" w:eastAsia="zh-CN"/>
        </w:rPr>
      </w:pPr>
      <w:r>
        <w:rPr>
          <w:rFonts w:hint="eastAsia" w:ascii="仿宋_GB2312" w:eastAsia="仿宋_GB2312"/>
          <w:color w:val="333333"/>
          <w:sz w:val="32"/>
          <w:szCs w:val="32"/>
          <w:lang w:val="zh-CN"/>
        </w:rPr>
        <w:t>（三）人员概况。本单位</w:t>
      </w:r>
      <w:r>
        <w:rPr>
          <w:rFonts w:hint="eastAsia" w:ascii="仿宋_GB2312" w:eastAsia="仿宋_GB2312"/>
          <w:color w:val="333333"/>
          <w:sz w:val="32"/>
          <w:szCs w:val="32"/>
        </w:rPr>
        <w:t>编制数为</w:t>
      </w:r>
      <w:r>
        <w:rPr>
          <w:rFonts w:hint="eastAsia" w:ascii="仿宋_GB2312" w:eastAsia="仿宋_GB2312"/>
          <w:color w:val="333333"/>
          <w:sz w:val="32"/>
          <w:szCs w:val="32"/>
          <w:u w:val="none"/>
          <w:lang w:val="en-US" w:eastAsia="zh-CN"/>
        </w:rPr>
        <w:t>42</w:t>
      </w:r>
      <w:r>
        <w:rPr>
          <w:rFonts w:hint="eastAsia" w:ascii="仿宋_GB2312" w:eastAsia="仿宋_GB2312"/>
          <w:color w:val="333333"/>
          <w:sz w:val="32"/>
          <w:szCs w:val="32"/>
        </w:rPr>
        <w:t>人，202</w:t>
      </w:r>
      <w:r>
        <w:rPr>
          <w:rFonts w:hint="eastAsia" w:ascii="仿宋_GB2312" w:eastAsia="仿宋_GB2312"/>
          <w:color w:val="333333"/>
          <w:sz w:val="32"/>
          <w:szCs w:val="32"/>
          <w:lang w:val="en-US" w:eastAsia="zh-CN"/>
        </w:rPr>
        <w:t>1</w:t>
      </w:r>
      <w:r>
        <w:rPr>
          <w:rFonts w:hint="eastAsia" w:ascii="仿宋_GB2312" w:eastAsia="仿宋_GB2312"/>
          <w:color w:val="333333"/>
          <w:sz w:val="32"/>
          <w:szCs w:val="32"/>
        </w:rPr>
        <w:t>年末在编人员</w:t>
      </w:r>
      <w:r>
        <w:rPr>
          <w:rFonts w:hint="eastAsia" w:ascii="仿宋_GB2312" w:eastAsia="仿宋_GB2312"/>
          <w:color w:val="333333"/>
          <w:sz w:val="32"/>
          <w:szCs w:val="32"/>
          <w:lang w:val="en-US" w:eastAsia="zh-CN"/>
        </w:rPr>
        <w:t>39</w:t>
      </w:r>
      <w:r>
        <w:rPr>
          <w:rFonts w:hint="eastAsia" w:ascii="仿宋_GB2312" w:eastAsia="仿宋_GB2312"/>
          <w:color w:val="333333"/>
          <w:sz w:val="32"/>
          <w:szCs w:val="32"/>
        </w:rPr>
        <w:t>人，退休</w:t>
      </w:r>
      <w:r>
        <w:rPr>
          <w:rFonts w:hint="eastAsia" w:ascii="仿宋_GB2312" w:eastAsia="仿宋_GB2312"/>
          <w:color w:val="333333"/>
          <w:sz w:val="32"/>
          <w:szCs w:val="32"/>
          <w:lang w:val="en-US" w:eastAsia="zh-CN"/>
        </w:rPr>
        <w:t>46</w:t>
      </w:r>
      <w:r>
        <w:rPr>
          <w:rFonts w:hint="eastAsia" w:ascii="仿宋_GB2312" w:eastAsia="仿宋_GB2312"/>
          <w:color w:val="333333"/>
          <w:sz w:val="32"/>
          <w:szCs w:val="32"/>
        </w:rPr>
        <w:t>人</w:t>
      </w:r>
      <w:r>
        <w:rPr>
          <w:rFonts w:hint="eastAsia" w:ascii="仿宋_GB2312" w:eastAsia="仿宋_GB2312"/>
          <w:color w:val="333333"/>
          <w:sz w:val="32"/>
          <w:szCs w:val="32"/>
          <w:lang w:eastAsia="zh-CN"/>
        </w:rPr>
        <w:t>。</w:t>
      </w:r>
    </w:p>
    <w:p>
      <w:pPr>
        <w:widowControl/>
        <w:numPr>
          <w:ilvl w:val="0"/>
          <w:numId w:val="6"/>
        </w:numPr>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单位财政资金收支情况</w:t>
      </w:r>
    </w:p>
    <w:p>
      <w:pPr>
        <w:widowControl/>
        <w:adjustRightInd w:val="0"/>
        <w:snapToGrid w:val="0"/>
        <w:spacing w:line="580" w:lineRule="exact"/>
        <w:ind w:firstLine="640" w:firstLineChars="200"/>
        <w:contextualSpacing/>
        <w:jc w:val="left"/>
        <w:rPr>
          <w:rFonts w:hint="eastAsia" w:ascii="仿宋_GB2312" w:eastAsia="仿宋_GB2312"/>
          <w:b w:val="0"/>
          <w:bCs w:val="0"/>
          <w:color w:val="333333"/>
          <w:sz w:val="32"/>
          <w:szCs w:val="32"/>
          <w:lang w:val="zh-CN"/>
        </w:rPr>
      </w:pPr>
      <w:r>
        <w:rPr>
          <w:rFonts w:hint="eastAsia" w:ascii="仿宋_GB2312" w:eastAsia="仿宋_GB2312"/>
          <w:b w:val="0"/>
          <w:bCs w:val="0"/>
          <w:color w:val="333333"/>
          <w:sz w:val="32"/>
          <w:szCs w:val="32"/>
          <w:lang w:val="zh-CN"/>
        </w:rPr>
        <w:t>（一）单位财政资金收入情况</w:t>
      </w:r>
    </w:p>
    <w:p>
      <w:pPr>
        <w:widowControl/>
        <w:adjustRightInd w:val="0"/>
        <w:snapToGrid w:val="0"/>
        <w:spacing w:line="580" w:lineRule="exact"/>
        <w:ind w:firstLine="640" w:firstLineChars="200"/>
        <w:contextualSpacing/>
        <w:jc w:val="left"/>
        <w:rPr>
          <w:rFonts w:hint="eastAsia" w:ascii="仿宋_GB2312" w:eastAsia="仿宋_GB2312"/>
          <w:color w:val="333333"/>
          <w:sz w:val="32"/>
          <w:szCs w:val="32"/>
          <w:lang w:val="zh-CN"/>
        </w:rPr>
      </w:pPr>
      <w:r>
        <w:rPr>
          <w:rFonts w:hint="eastAsia" w:ascii="仿宋_GB2312" w:eastAsia="仿宋_GB2312"/>
          <w:color w:val="333333"/>
          <w:sz w:val="32"/>
          <w:szCs w:val="32"/>
          <w:lang w:val="en-US" w:eastAsia="zh-CN"/>
        </w:rPr>
        <w:t>2021</w:t>
      </w:r>
      <w:r>
        <w:rPr>
          <w:rFonts w:hint="eastAsia" w:ascii="仿宋_GB2312" w:eastAsia="仿宋_GB2312"/>
          <w:color w:val="333333"/>
          <w:sz w:val="32"/>
          <w:szCs w:val="32"/>
          <w:lang w:val="zh-CN"/>
        </w:rPr>
        <w:t>年预算执行收入总额</w:t>
      </w:r>
      <w:r>
        <w:rPr>
          <w:rFonts w:hint="eastAsia" w:ascii="仿宋_GB2312" w:eastAsia="仿宋_GB2312"/>
          <w:color w:val="333333"/>
          <w:sz w:val="32"/>
          <w:szCs w:val="32"/>
          <w:lang w:val="en-US" w:eastAsia="zh-CN"/>
        </w:rPr>
        <w:t>956.27</w:t>
      </w:r>
      <w:r>
        <w:rPr>
          <w:rFonts w:hint="eastAsia" w:ascii="仿宋_GB2312" w:eastAsia="仿宋_GB2312"/>
          <w:color w:val="333333"/>
          <w:sz w:val="32"/>
          <w:szCs w:val="32"/>
          <w:lang w:val="zh-CN"/>
        </w:rPr>
        <w:t>万元，其中财政补助收入5</w:t>
      </w:r>
      <w:r>
        <w:rPr>
          <w:rFonts w:hint="eastAsia" w:ascii="仿宋_GB2312" w:eastAsia="仿宋_GB2312"/>
          <w:color w:val="333333"/>
          <w:sz w:val="32"/>
          <w:szCs w:val="32"/>
          <w:lang w:val="en-US" w:eastAsia="zh-CN"/>
        </w:rPr>
        <w:t>98</w:t>
      </w:r>
      <w:r>
        <w:rPr>
          <w:rFonts w:hint="eastAsia" w:ascii="仿宋_GB2312" w:eastAsia="仿宋_GB2312"/>
          <w:color w:val="333333"/>
          <w:sz w:val="32"/>
          <w:szCs w:val="32"/>
          <w:lang w:val="zh-CN"/>
        </w:rPr>
        <w:t>.</w:t>
      </w:r>
      <w:r>
        <w:rPr>
          <w:rFonts w:hint="eastAsia" w:ascii="仿宋_GB2312" w:eastAsia="仿宋_GB2312"/>
          <w:color w:val="333333"/>
          <w:sz w:val="32"/>
          <w:szCs w:val="32"/>
          <w:lang w:val="en-US" w:eastAsia="zh-CN"/>
        </w:rPr>
        <w:t>56</w:t>
      </w:r>
      <w:r>
        <w:rPr>
          <w:rFonts w:hint="eastAsia" w:ascii="仿宋_GB2312" w:eastAsia="仿宋_GB2312"/>
          <w:color w:val="333333"/>
          <w:sz w:val="32"/>
          <w:szCs w:val="32"/>
          <w:lang w:val="zh-CN"/>
        </w:rPr>
        <w:t>万元，事业收入</w:t>
      </w:r>
      <w:r>
        <w:rPr>
          <w:rFonts w:hint="eastAsia" w:ascii="仿宋_GB2312" w:eastAsia="仿宋_GB2312"/>
          <w:color w:val="333333"/>
          <w:sz w:val="32"/>
          <w:szCs w:val="32"/>
          <w:lang w:val="en-US" w:eastAsia="zh-CN"/>
        </w:rPr>
        <w:t>356</w:t>
      </w:r>
      <w:r>
        <w:rPr>
          <w:rFonts w:hint="eastAsia" w:ascii="仿宋_GB2312" w:eastAsia="仿宋_GB2312"/>
          <w:color w:val="333333"/>
          <w:sz w:val="32"/>
          <w:szCs w:val="32"/>
          <w:lang w:val="zh-CN"/>
        </w:rPr>
        <w:t>.5</w:t>
      </w:r>
      <w:r>
        <w:rPr>
          <w:rFonts w:hint="eastAsia" w:ascii="仿宋_GB2312" w:eastAsia="仿宋_GB2312"/>
          <w:color w:val="333333"/>
          <w:sz w:val="32"/>
          <w:szCs w:val="32"/>
          <w:lang w:val="en-US" w:eastAsia="zh-CN"/>
        </w:rPr>
        <w:t>1</w:t>
      </w:r>
      <w:r>
        <w:rPr>
          <w:rFonts w:hint="eastAsia" w:ascii="仿宋_GB2312" w:eastAsia="仿宋_GB2312"/>
          <w:color w:val="333333"/>
          <w:sz w:val="32"/>
          <w:szCs w:val="32"/>
          <w:lang w:val="zh-CN"/>
        </w:rPr>
        <w:t>万元，其他收入</w:t>
      </w:r>
      <w:r>
        <w:rPr>
          <w:rFonts w:hint="eastAsia" w:ascii="仿宋_GB2312" w:eastAsia="仿宋_GB2312"/>
          <w:color w:val="333333"/>
          <w:sz w:val="32"/>
          <w:szCs w:val="32"/>
          <w:lang w:val="en-US" w:eastAsia="zh-CN"/>
        </w:rPr>
        <w:t>1.20</w:t>
      </w:r>
      <w:r>
        <w:rPr>
          <w:rFonts w:hint="eastAsia" w:ascii="仿宋_GB2312" w:eastAsia="仿宋_GB2312"/>
          <w:color w:val="333333"/>
          <w:sz w:val="32"/>
          <w:szCs w:val="32"/>
          <w:lang w:val="zh-CN"/>
        </w:rPr>
        <w:t>万元。</w:t>
      </w:r>
    </w:p>
    <w:p>
      <w:pPr>
        <w:widowControl/>
        <w:adjustRightInd w:val="0"/>
        <w:snapToGrid w:val="0"/>
        <w:spacing w:line="580" w:lineRule="exact"/>
        <w:ind w:firstLine="640" w:firstLineChars="200"/>
        <w:contextualSpacing/>
        <w:jc w:val="left"/>
        <w:rPr>
          <w:rFonts w:hint="eastAsia" w:ascii="仿宋_GB2312" w:eastAsia="仿宋_GB2312"/>
          <w:color w:val="333333"/>
          <w:sz w:val="32"/>
          <w:szCs w:val="32"/>
          <w:lang w:val="zh-CN"/>
        </w:rPr>
      </w:pPr>
      <w:r>
        <w:rPr>
          <w:rFonts w:hint="eastAsia" w:ascii="仿宋_GB2312" w:eastAsia="仿宋_GB2312"/>
          <w:color w:val="333333"/>
          <w:sz w:val="32"/>
          <w:szCs w:val="32"/>
          <w:lang w:val="zh-CN"/>
        </w:rPr>
        <w:t>（二）单位财政资金支出情况</w:t>
      </w:r>
    </w:p>
    <w:p>
      <w:pPr>
        <w:widowControl/>
        <w:adjustRightInd w:val="0"/>
        <w:snapToGrid w:val="0"/>
        <w:spacing w:line="580" w:lineRule="exact"/>
        <w:ind w:firstLine="640" w:firstLineChars="200"/>
        <w:contextualSpacing/>
        <w:jc w:val="left"/>
        <w:rPr>
          <w:rFonts w:hint="eastAsia" w:ascii="仿宋_GB2312" w:eastAsia="仿宋_GB2312"/>
          <w:color w:val="333333"/>
          <w:sz w:val="32"/>
          <w:szCs w:val="32"/>
          <w:lang w:val="zh-CN"/>
        </w:rPr>
      </w:pPr>
      <w:r>
        <w:rPr>
          <w:rFonts w:hint="eastAsia" w:ascii="仿宋_GB2312" w:eastAsia="仿宋_GB2312"/>
          <w:color w:val="333333"/>
          <w:sz w:val="32"/>
          <w:szCs w:val="32"/>
          <w:lang w:val="zh-CN"/>
        </w:rPr>
        <w:t>预算执行支出总额</w:t>
      </w:r>
      <w:r>
        <w:rPr>
          <w:rFonts w:hint="eastAsia" w:ascii="仿宋_GB2312" w:eastAsia="仿宋_GB2312"/>
          <w:color w:val="333333"/>
          <w:sz w:val="32"/>
          <w:szCs w:val="32"/>
          <w:lang w:val="en-US" w:eastAsia="zh-CN"/>
        </w:rPr>
        <w:t>956.27</w:t>
      </w:r>
      <w:r>
        <w:rPr>
          <w:rFonts w:hint="eastAsia" w:ascii="仿宋_GB2312" w:eastAsia="仿宋_GB2312"/>
          <w:color w:val="333333"/>
          <w:sz w:val="32"/>
          <w:szCs w:val="32"/>
          <w:lang w:val="zh-CN"/>
        </w:rPr>
        <w:t>万元，其中教育支出</w:t>
      </w:r>
      <w:r>
        <w:rPr>
          <w:rFonts w:hint="eastAsia" w:ascii="仿宋_GB2312" w:eastAsia="仿宋_GB2312"/>
          <w:color w:val="333333"/>
          <w:sz w:val="32"/>
          <w:szCs w:val="32"/>
          <w:lang w:val="en-US" w:eastAsia="zh-CN"/>
        </w:rPr>
        <w:t>819.87</w:t>
      </w:r>
      <w:r>
        <w:rPr>
          <w:rFonts w:hint="eastAsia" w:ascii="仿宋_GB2312" w:eastAsia="仿宋_GB2312"/>
          <w:color w:val="333333"/>
          <w:sz w:val="32"/>
          <w:szCs w:val="32"/>
          <w:lang w:val="zh-CN"/>
        </w:rPr>
        <w:t>万元，社会保障和就业支出</w:t>
      </w:r>
      <w:r>
        <w:rPr>
          <w:rFonts w:hint="eastAsia" w:ascii="仿宋_GB2312" w:eastAsia="仿宋_GB2312"/>
          <w:color w:val="333333"/>
          <w:sz w:val="32"/>
          <w:szCs w:val="32"/>
          <w:lang w:val="en-US" w:eastAsia="zh-CN"/>
        </w:rPr>
        <w:t>73.78</w:t>
      </w:r>
      <w:r>
        <w:rPr>
          <w:rFonts w:hint="eastAsia" w:ascii="仿宋_GB2312" w:eastAsia="仿宋_GB2312"/>
          <w:color w:val="333333"/>
          <w:sz w:val="32"/>
          <w:szCs w:val="32"/>
          <w:lang w:val="zh-CN"/>
        </w:rPr>
        <w:t>万元，医疗卫生与计划生育支出2</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lang w:val="zh-CN"/>
        </w:rPr>
        <w:t>.</w:t>
      </w:r>
      <w:r>
        <w:rPr>
          <w:rFonts w:hint="eastAsia" w:ascii="仿宋_GB2312" w:eastAsia="仿宋_GB2312"/>
          <w:color w:val="333333"/>
          <w:sz w:val="32"/>
          <w:szCs w:val="32"/>
          <w:lang w:val="en-US" w:eastAsia="zh-CN"/>
        </w:rPr>
        <w:t>96</w:t>
      </w:r>
      <w:r>
        <w:rPr>
          <w:rFonts w:hint="eastAsia" w:ascii="仿宋_GB2312" w:eastAsia="仿宋_GB2312"/>
          <w:color w:val="333333"/>
          <w:sz w:val="32"/>
          <w:szCs w:val="32"/>
          <w:lang w:val="zh-CN"/>
        </w:rPr>
        <w:t>万元，住房保障支出3</w:t>
      </w:r>
      <w:r>
        <w:rPr>
          <w:rFonts w:hint="eastAsia" w:ascii="仿宋_GB2312" w:eastAsia="仿宋_GB2312"/>
          <w:color w:val="333333"/>
          <w:sz w:val="32"/>
          <w:szCs w:val="32"/>
          <w:lang w:val="en-US" w:eastAsia="zh-CN"/>
        </w:rPr>
        <w:t>3.66</w:t>
      </w:r>
      <w:r>
        <w:rPr>
          <w:rFonts w:hint="eastAsia" w:ascii="仿宋_GB2312" w:eastAsia="仿宋_GB2312"/>
          <w:color w:val="333333"/>
          <w:sz w:val="32"/>
          <w:szCs w:val="32"/>
          <w:lang w:val="zh-CN"/>
        </w:rPr>
        <w:t>万元。</w:t>
      </w:r>
    </w:p>
    <w:p>
      <w:pPr>
        <w:widowControl/>
        <w:adjustRightInd w:val="0"/>
        <w:snapToGrid w:val="0"/>
        <w:spacing w:line="580" w:lineRule="exact"/>
        <w:ind w:firstLine="640" w:firstLineChars="200"/>
        <w:contextualSpacing/>
        <w:jc w:val="left"/>
        <w:rPr>
          <w:rFonts w:hint="eastAsia" w:ascii="仿宋_GB2312" w:eastAsia="仿宋_GB2312"/>
          <w:b/>
          <w:bCs/>
          <w:color w:val="333333"/>
          <w:sz w:val="32"/>
          <w:szCs w:val="32"/>
          <w:lang w:val="zh-CN"/>
        </w:rPr>
      </w:pPr>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整体预算绩效管理情况</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eastAsia" w:ascii="仿宋_GB2312" w:eastAsia="仿宋_GB2312"/>
          <w:color w:val="333333"/>
          <w:sz w:val="32"/>
          <w:szCs w:val="32"/>
          <w:lang w:val="zh-CN"/>
        </w:rPr>
        <w:t>（一）</w:t>
      </w:r>
      <w:r>
        <w:rPr>
          <w:rFonts w:hint="default" w:ascii="仿宋_GB2312" w:eastAsia="仿宋_GB2312"/>
          <w:color w:val="333333"/>
          <w:sz w:val="32"/>
          <w:szCs w:val="32"/>
          <w:lang w:val="zh-CN"/>
        </w:rPr>
        <w:t>部门职责履行情况</w:t>
      </w:r>
    </w:p>
    <w:p>
      <w:pPr>
        <w:snapToGrid w:val="0"/>
        <w:spacing w:line="520" w:lineRule="exact"/>
        <w:ind w:firstLine="640" w:firstLineChars="200"/>
        <w:rPr>
          <w:rFonts w:hint="default" w:ascii="仿宋" w:hAnsi="仿宋" w:eastAsia="仿宋" w:cs="Times New Roman"/>
          <w:bCs/>
          <w:color w:val="000000"/>
          <w:kern w:val="0"/>
          <w:sz w:val="32"/>
          <w:szCs w:val="32"/>
          <w:lang w:val="en-US" w:eastAsia="zh-CN" w:bidi="ar-SA"/>
        </w:rPr>
      </w:pPr>
      <w:r>
        <w:rPr>
          <w:rFonts w:hint="eastAsia" w:ascii="仿宋_GB2312" w:eastAsia="仿宋_GB2312"/>
          <w:color w:val="333333"/>
          <w:sz w:val="32"/>
          <w:szCs w:val="32"/>
          <w:lang w:val="zh-CN"/>
        </w:rPr>
        <w:t>我校</w:t>
      </w:r>
      <w:r>
        <w:rPr>
          <w:rFonts w:hint="eastAsia" w:ascii="仿宋_GB2312" w:eastAsia="仿宋_GB2312"/>
          <w:color w:val="333333"/>
          <w:sz w:val="32"/>
          <w:szCs w:val="32"/>
          <w:lang w:val="en-US" w:eastAsia="zh-CN"/>
        </w:rPr>
        <w:t>2021</w:t>
      </w:r>
      <w:r>
        <w:rPr>
          <w:rFonts w:hint="eastAsia" w:ascii="仿宋_GB2312" w:eastAsia="仿宋_GB2312"/>
          <w:color w:val="333333"/>
          <w:sz w:val="32"/>
          <w:szCs w:val="32"/>
          <w:lang w:val="zh-CN"/>
        </w:rPr>
        <w:t>年较好完成了学校教育教学、招生、后勤管理、社区教育、中小学教师全员培训及普通话测试培训等常规性工作。我校进一步完善了绩效工资考核、岗位设置、财务管理等方面的内控制度，并严格遵照相关规定执行。20</w:t>
      </w:r>
      <w:r>
        <w:rPr>
          <w:rFonts w:hint="eastAsia" w:ascii="仿宋_GB2312" w:eastAsia="仿宋_GB2312"/>
          <w:color w:val="333333"/>
          <w:sz w:val="32"/>
          <w:szCs w:val="32"/>
          <w:lang w:val="en-US" w:eastAsia="zh-CN"/>
        </w:rPr>
        <w:t>21</w:t>
      </w:r>
      <w:r>
        <w:rPr>
          <w:rFonts w:hint="eastAsia" w:ascii="仿宋_GB2312" w:eastAsia="仿宋_GB2312"/>
          <w:color w:val="333333"/>
          <w:sz w:val="32"/>
          <w:szCs w:val="32"/>
          <w:lang w:val="zh-CN"/>
        </w:rPr>
        <w:t>年我校招生</w:t>
      </w:r>
      <w:r>
        <w:rPr>
          <w:rFonts w:hint="eastAsia" w:ascii="仿宋" w:hAnsi="仿宋" w:eastAsia="仿宋"/>
          <w:color w:val="000000"/>
          <w:sz w:val="32"/>
          <w:szCs w:val="32"/>
          <w:lang w:eastAsia="zh-CN"/>
        </w:rPr>
        <w:t>取得优异成绩</w:t>
      </w:r>
      <w:r>
        <w:rPr>
          <w:rFonts w:hint="eastAsia" w:ascii="仿宋_GB2312" w:eastAsia="仿宋_GB2312"/>
          <w:color w:val="333333"/>
          <w:sz w:val="32"/>
          <w:szCs w:val="32"/>
          <w:lang w:val="zh-CN"/>
        </w:rPr>
        <w:t>，</w:t>
      </w:r>
      <w:r>
        <w:rPr>
          <w:rFonts w:hint="eastAsia" w:ascii="仿宋" w:hAnsi="仿宋" w:eastAsia="仿宋"/>
          <w:sz w:val="32"/>
          <w:szCs w:val="32"/>
        </w:rPr>
        <w:t>综合办学实力名列全省开大系统第一方阵。</w:t>
      </w:r>
      <w:r>
        <w:rPr>
          <w:rFonts w:hint="default" w:ascii="仿宋" w:hAnsi="仿宋" w:eastAsia="仿宋" w:cs="Times New Roman"/>
          <w:bCs/>
          <w:color w:val="000000"/>
          <w:kern w:val="0"/>
          <w:sz w:val="32"/>
          <w:szCs w:val="32"/>
          <w:lang w:val="en-US" w:eastAsia="zh-CN" w:bidi="ar-SA"/>
        </w:rPr>
        <w:t>学校获</w:t>
      </w:r>
      <w:r>
        <w:rPr>
          <w:rFonts w:hint="eastAsia" w:ascii="仿宋" w:hAnsi="仿宋" w:eastAsia="仿宋"/>
          <w:sz w:val="32"/>
          <w:szCs w:val="32"/>
        </w:rPr>
        <w:t>四川开大年度招生先进集体</w:t>
      </w:r>
      <w:r>
        <w:rPr>
          <w:rFonts w:hint="default" w:ascii="仿宋" w:hAnsi="仿宋" w:eastAsia="仿宋" w:cs="Times New Roman"/>
          <w:bCs/>
          <w:color w:val="000000"/>
          <w:kern w:val="0"/>
          <w:sz w:val="32"/>
          <w:szCs w:val="32"/>
          <w:lang w:val="en-US" w:eastAsia="zh-CN" w:bidi="ar-SA"/>
        </w:rPr>
        <w:t>。</w:t>
      </w:r>
    </w:p>
    <w:p>
      <w:pPr>
        <w:widowControl/>
        <w:adjustRightInd w:val="0"/>
        <w:snapToGrid w:val="0"/>
        <w:spacing w:line="580" w:lineRule="exact"/>
        <w:ind w:firstLine="640" w:firstLineChars="200"/>
        <w:contextualSpacing/>
        <w:jc w:val="left"/>
        <w:rPr>
          <w:rFonts w:hint="eastAsia" w:ascii="仿宋_GB2312" w:eastAsia="仿宋_GB2312"/>
          <w:color w:val="333333"/>
          <w:sz w:val="32"/>
          <w:szCs w:val="32"/>
          <w:lang w:val="zh-CN"/>
        </w:rPr>
      </w:pPr>
      <w:r>
        <w:rPr>
          <w:rFonts w:hint="eastAsia" w:ascii="仿宋_GB2312" w:eastAsia="仿宋_GB2312"/>
          <w:color w:val="333333"/>
          <w:sz w:val="32"/>
          <w:szCs w:val="32"/>
          <w:lang w:val="en-US" w:eastAsia="zh-CN"/>
        </w:rPr>
        <w:t>（二）</w:t>
      </w:r>
      <w:r>
        <w:rPr>
          <w:rFonts w:hint="default" w:ascii="仿宋_GB2312" w:eastAsia="仿宋_GB2312"/>
          <w:color w:val="333333"/>
          <w:sz w:val="32"/>
          <w:szCs w:val="32"/>
          <w:lang w:val="en-US" w:eastAsia="zh-CN"/>
        </w:rPr>
        <w:t>项目绩效评价情况</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default" w:ascii="仿宋_GB2312" w:eastAsia="仿宋_GB2312"/>
          <w:color w:val="333333"/>
          <w:sz w:val="32"/>
          <w:szCs w:val="32"/>
          <w:lang w:val="en-US" w:eastAsia="zh-CN"/>
        </w:rPr>
        <w:t>我单位严格按项目资金用途使用资金，尽量加快资金的使用进度，在遵循国家的《采购法》、《预算法》的基础上制定了《物品采购制度》、《重大维修管理制度》、《重大基建项目管理制度》等</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default" w:ascii="仿宋_GB2312" w:eastAsia="仿宋_GB2312"/>
          <w:color w:val="333333"/>
          <w:sz w:val="32"/>
          <w:szCs w:val="32"/>
          <w:lang w:val="en-US" w:eastAsia="zh-CN"/>
        </w:rPr>
        <w:t>202</w:t>
      </w:r>
      <w:r>
        <w:rPr>
          <w:rFonts w:hint="eastAsia" w:ascii="仿宋_GB2312" w:eastAsia="仿宋_GB2312"/>
          <w:color w:val="333333"/>
          <w:sz w:val="32"/>
          <w:szCs w:val="32"/>
          <w:lang w:val="en-US" w:eastAsia="zh-CN"/>
        </w:rPr>
        <w:t>1</w:t>
      </w:r>
      <w:r>
        <w:rPr>
          <w:rFonts w:hint="default" w:ascii="仿宋_GB2312" w:eastAsia="仿宋_GB2312"/>
          <w:color w:val="333333"/>
          <w:sz w:val="32"/>
          <w:szCs w:val="32"/>
          <w:lang w:val="en-US" w:eastAsia="zh-CN"/>
        </w:rPr>
        <w:t>年的项目资金</w:t>
      </w:r>
      <w:r>
        <w:rPr>
          <w:rFonts w:hint="eastAsia" w:ascii="仿宋_GB2312" w:eastAsia="仿宋_GB2312"/>
          <w:color w:val="333333"/>
          <w:sz w:val="32"/>
          <w:szCs w:val="32"/>
          <w:lang w:val="en-US" w:eastAsia="zh-CN"/>
        </w:rPr>
        <w:t>71.88万元</w:t>
      </w:r>
      <w:r>
        <w:rPr>
          <w:rFonts w:hint="default" w:ascii="仿宋_GB2312" w:eastAsia="仿宋_GB2312"/>
          <w:color w:val="333333"/>
          <w:sz w:val="32"/>
          <w:szCs w:val="32"/>
          <w:lang w:val="en-US" w:eastAsia="zh-CN"/>
        </w:rPr>
        <w:t>，</w:t>
      </w:r>
      <w:r>
        <w:rPr>
          <w:rFonts w:hint="eastAsia" w:ascii="仿宋_GB2312" w:eastAsia="仿宋_GB2312"/>
          <w:color w:val="333333"/>
          <w:sz w:val="32"/>
          <w:szCs w:val="32"/>
          <w:lang w:val="en-US" w:eastAsia="zh-CN"/>
        </w:rPr>
        <w:t>该</w:t>
      </w:r>
      <w:r>
        <w:rPr>
          <w:rFonts w:hint="default" w:ascii="仿宋_GB2312" w:eastAsia="仿宋_GB2312"/>
          <w:color w:val="333333"/>
          <w:sz w:val="32"/>
          <w:szCs w:val="32"/>
          <w:lang w:val="en-US" w:eastAsia="zh-CN"/>
        </w:rPr>
        <w:t>款项用</w:t>
      </w:r>
      <w:r>
        <w:rPr>
          <w:rFonts w:hint="eastAsia" w:ascii="仿宋_GB2312" w:eastAsia="仿宋_GB2312"/>
          <w:color w:val="333333"/>
          <w:sz w:val="32"/>
          <w:szCs w:val="32"/>
          <w:lang w:val="en-US" w:eastAsia="zh-CN"/>
        </w:rPr>
        <w:t>于校园边坡垮塌排危工程</w:t>
      </w:r>
      <w:r>
        <w:rPr>
          <w:rFonts w:hint="default" w:ascii="仿宋_GB2312" w:eastAsia="仿宋_GB2312"/>
          <w:color w:val="333333"/>
          <w:sz w:val="32"/>
          <w:szCs w:val="32"/>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eastAsia" w:ascii="仿宋_GB2312" w:eastAsia="仿宋_GB2312"/>
          <w:color w:val="333333"/>
          <w:sz w:val="32"/>
          <w:szCs w:val="32"/>
          <w:lang w:val="en-US" w:eastAsia="zh-CN"/>
        </w:rPr>
        <w:t>（三）</w:t>
      </w:r>
      <w:r>
        <w:rPr>
          <w:rFonts w:hint="default" w:ascii="仿宋_GB2312" w:eastAsia="仿宋_GB2312"/>
          <w:color w:val="333333"/>
          <w:sz w:val="32"/>
          <w:szCs w:val="32"/>
          <w:lang w:val="en-US" w:eastAsia="zh-CN"/>
        </w:rPr>
        <w:t>绩效目标完成情况</w:t>
      </w:r>
    </w:p>
    <w:p>
      <w:pPr>
        <w:widowControl/>
        <w:adjustRightInd w:val="0"/>
        <w:snapToGrid w:val="0"/>
        <w:spacing w:line="580" w:lineRule="exact"/>
        <w:ind w:left="319" w:leftChars="152" w:firstLine="320" w:firstLineChars="100"/>
        <w:contextualSpacing/>
        <w:jc w:val="left"/>
        <w:rPr>
          <w:rFonts w:hint="default" w:ascii="仿宋_GB2312" w:eastAsia="仿宋_GB2312"/>
          <w:color w:val="333333"/>
          <w:sz w:val="32"/>
          <w:szCs w:val="32"/>
          <w:lang w:val="zh-CN"/>
        </w:rPr>
      </w:pPr>
      <w:r>
        <w:rPr>
          <w:rFonts w:hint="eastAsia" w:ascii="仿宋_GB2312" w:eastAsia="仿宋_GB2312"/>
          <w:color w:val="333333"/>
          <w:sz w:val="32"/>
          <w:szCs w:val="32"/>
          <w:lang w:val="en-US" w:eastAsia="zh-CN"/>
        </w:rPr>
        <w:t>校园边坡排危</w:t>
      </w:r>
      <w:r>
        <w:rPr>
          <w:rFonts w:hint="default" w:ascii="仿宋_GB2312" w:eastAsia="仿宋_GB2312"/>
          <w:color w:val="333333"/>
          <w:sz w:val="32"/>
          <w:szCs w:val="32"/>
          <w:lang w:val="en-US" w:eastAsia="zh-CN"/>
        </w:rPr>
        <w:t>项目</w:t>
      </w:r>
      <w:r>
        <w:rPr>
          <w:rFonts w:hint="eastAsia" w:ascii="仿宋_GB2312" w:eastAsia="仿宋_GB2312"/>
          <w:color w:val="333333"/>
          <w:sz w:val="32"/>
          <w:szCs w:val="32"/>
          <w:lang w:val="en-US" w:eastAsia="zh-CN"/>
        </w:rPr>
        <w:t>主要是有效</w:t>
      </w:r>
      <w:r>
        <w:rPr>
          <w:rFonts w:hint="default" w:ascii="仿宋_GB2312" w:eastAsia="仿宋_GB2312"/>
          <w:color w:val="333333"/>
          <w:sz w:val="32"/>
          <w:szCs w:val="32"/>
          <w:lang w:val="en-US" w:eastAsia="zh-CN"/>
        </w:rPr>
        <w:t>改善教学环境和</w:t>
      </w:r>
      <w:r>
        <w:rPr>
          <w:rFonts w:hint="eastAsia" w:ascii="仿宋_GB2312" w:eastAsia="仿宋_GB2312"/>
          <w:color w:val="333333"/>
          <w:sz w:val="32"/>
          <w:szCs w:val="32"/>
          <w:lang w:val="en-US" w:eastAsia="zh-CN"/>
        </w:rPr>
        <w:t>为学生提供安全</w:t>
      </w:r>
      <w:r>
        <w:rPr>
          <w:rFonts w:hint="default" w:ascii="仿宋_GB2312" w:eastAsia="仿宋_GB2312"/>
          <w:color w:val="333333"/>
          <w:sz w:val="32"/>
          <w:szCs w:val="32"/>
          <w:lang w:val="en-US" w:eastAsia="zh-CN"/>
        </w:rPr>
        <w:t>教学，给</w:t>
      </w:r>
      <w:r>
        <w:rPr>
          <w:rFonts w:hint="eastAsia" w:ascii="仿宋_GB2312" w:eastAsia="仿宋_GB2312"/>
          <w:color w:val="333333"/>
          <w:sz w:val="32"/>
          <w:szCs w:val="32"/>
          <w:lang w:val="en-US" w:eastAsia="zh-CN"/>
        </w:rPr>
        <w:t>周围居民</w:t>
      </w:r>
      <w:r>
        <w:rPr>
          <w:rFonts w:hint="default" w:ascii="仿宋_GB2312" w:eastAsia="仿宋_GB2312"/>
          <w:color w:val="333333"/>
          <w:sz w:val="32"/>
          <w:szCs w:val="32"/>
          <w:lang w:val="en-US" w:eastAsia="zh-CN"/>
        </w:rPr>
        <w:t>提供一个</w:t>
      </w:r>
      <w:r>
        <w:rPr>
          <w:rFonts w:hint="eastAsia" w:ascii="仿宋_GB2312" w:eastAsia="仿宋_GB2312"/>
          <w:color w:val="333333"/>
          <w:sz w:val="32"/>
          <w:szCs w:val="32"/>
          <w:lang w:val="en-US" w:eastAsia="zh-CN"/>
        </w:rPr>
        <w:t>安全</w:t>
      </w:r>
      <w:r>
        <w:rPr>
          <w:rFonts w:hint="default" w:ascii="仿宋_GB2312" w:eastAsia="仿宋_GB2312"/>
          <w:color w:val="333333"/>
          <w:sz w:val="32"/>
          <w:szCs w:val="32"/>
          <w:lang w:val="en-US" w:eastAsia="zh-CN"/>
        </w:rPr>
        <w:t>的</w:t>
      </w:r>
      <w:r>
        <w:rPr>
          <w:rFonts w:hint="eastAsia" w:ascii="仿宋_GB2312" w:eastAsia="仿宋_GB2312"/>
          <w:color w:val="333333"/>
          <w:sz w:val="32"/>
          <w:szCs w:val="32"/>
          <w:lang w:val="en-US" w:eastAsia="zh-CN"/>
        </w:rPr>
        <w:t>居住</w:t>
      </w:r>
      <w:r>
        <w:rPr>
          <w:rFonts w:hint="default" w:ascii="仿宋_GB2312" w:eastAsia="仿宋_GB2312"/>
          <w:color w:val="333333"/>
          <w:sz w:val="32"/>
          <w:szCs w:val="32"/>
          <w:lang w:val="en-US" w:eastAsia="zh-CN"/>
        </w:rPr>
        <w:t>环境</w:t>
      </w:r>
      <w:r>
        <w:rPr>
          <w:rFonts w:hint="eastAsia" w:ascii="仿宋_GB2312" w:eastAsia="仿宋_GB2312"/>
          <w:color w:val="333333"/>
          <w:sz w:val="32"/>
          <w:szCs w:val="32"/>
          <w:lang w:val="en-US" w:eastAsia="zh-CN"/>
        </w:rPr>
        <w:t>，消除安全隐患</w:t>
      </w:r>
      <w:r>
        <w:rPr>
          <w:rFonts w:hint="default" w:ascii="仿宋_GB2312" w:eastAsia="仿宋_GB2312"/>
          <w:color w:val="333333"/>
          <w:sz w:val="32"/>
          <w:szCs w:val="32"/>
          <w:lang w:val="en-US" w:eastAsia="zh-CN"/>
        </w:rPr>
        <w:t>,让学生满意</w:t>
      </w:r>
      <w:r>
        <w:rPr>
          <w:rFonts w:hint="eastAsia" w:ascii="仿宋_GB2312" w:eastAsia="仿宋_GB2312"/>
          <w:color w:val="333333"/>
          <w:sz w:val="32"/>
          <w:szCs w:val="32"/>
          <w:lang w:val="en-US" w:eastAsia="zh-CN"/>
        </w:rPr>
        <w:t>和群众满意，该</w:t>
      </w:r>
      <w:r>
        <w:rPr>
          <w:rFonts w:hint="default" w:ascii="仿宋_GB2312" w:eastAsia="仿宋_GB2312"/>
          <w:color w:val="333333"/>
          <w:sz w:val="32"/>
          <w:szCs w:val="32"/>
          <w:lang w:val="en-US" w:eastAsia="zh-CN"/>
        </w:rPr>
        <w:t>项目资金已完成支付</w:t>
      </w:r>
      <w:r>
        <w:rPr>
          <w:rFonts w:hint="eastAsia" w:ascii="仿宋_GB2312" w:eastAsia="仿宋_GB2312"/>
          <w:color w:val="333333"/>
          <w:sz w:val="32"/>
          <w:szCs w:val="32"/>
          <w:lang w:val="en-US" w:eastAsia="zh-CN"/>
        </w:rPr>
        <w:t>71.88万元</w:t>
      </w:r>
      <w:r>
        <w:rPr>
          <w:rFonts w:hint="default" w:ascii="仿宋_GB2312" w:eastAsia="仿宋_GB2312"/>
          <w:color w:val="333333"/>
          <w:sz w:val="32"/>
          <w:szCs w:val="32"/>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default" w:ascii="仿宋_GB2312" w:eastAsia="仿宋_GB2312"/>
          <w:color w:val="333333"/>
          <w:sz w:val="32"/>
          <w:szCs w:val="32"/>
          <w:lang w:val="en-US" w:eastAsia="zh-CN"/>
        </w:rPr>
        <w:t>四、评价结论及建议</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default" w:ascii="仿宋_GB2312" w:eastAsia="仿宋_GB2312"/>
          <w:color w:val="333333"/>
          <w:sz w:val="32"/>
          <w:szCs w:val="32"/>
          <w:lang w:val="en-US" w:eastAsia="zh-CN"/>
        </w:rPr>
        <w:t>（一）评价结论：我单位支出绩效总体良好。</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rPr>
      </w:pPr>
      <w:r>
        <w:rPr>
          <w:rFonts w:hint="default" w:ascii="仿宋_GB2312" w:eastAsia="仿宋_GB2312"/>
          <w:color w:val="333333"/>
          <w:sz w:val="32"/>
          <w:szCs w:val="32"/>
          <w:lang w:val="en-US" w:eastAsia="zh-CN"/>
        </w:rPr>
        <w:t>（二）存在问题：由于受条件限制，我单位未单独设立绩效考评部门，绩效考评显得被动。</w:t>
      </w:r>
    </w:p>
    <w:p>
      <w:pPr>
        <w:widowControl/>
        <w:adjustRightInd w:val="0"/>
        <w:snapToGrid w:val="0"/>
        <w:spacing w:line="580" w:lineRule="exact"/>
        <w:ind w:firstLine="640" w:firstLineChars="200"/>
        <w:contextualSpacing/>
        <w:jc w:val="left"/>
        <w:rPr>
          <w:rFonts w:hint="default" w:ascii="仿宋_GB2312" w:eastAsia="仿宋_GB2312"/>
          <w:color w:val="333333"/>
          <w:sz w:val="32"/>
          <w:szCs w:val="32"/>
          <w:lang w:val="zh-CN" w:eastAsia="zh-CN"/>
        </w:rPr>
      </w:pPr>
      <w:r>
        <w:rPr>
          <w:rFonts w:hint="default" w:ascii="仿宋_GB2312" w:eastAsia="仿宋_GB2312"/>
          <w:color w:val="333333"/>
          <w:sz w:val="32"/>
          <w:szCs w:val="32"/>
          <w:lang w:val="en-US" w:eastAsia="zh-CN"/>
        </w:rPr>
        <w:t>（三）改进建议：把“要我评价”的被动认识转变为“我要评价”的主动实践，让部份职工代表也参与到绩效评价工作中来。</w:t>
      </w:r>
    </w:p>
    <w:p>
      <w:pPr>
        <w:widowControl/>
        <w:adjustRightInd w:val="0"/>
        <w:snapToGrid w:val="0"/>
        <w:spacing w:line="580" w:lineRule="exact"/>
        <w:ind w:left="6078" w:leftChars="304" w:hanging="5440" w:hangingChars="1700"/>
        <w:contextualSpacing/>
        <w:jc w:val="left"/>
        <w:rPr>
          <w:rFonts w:hint="eastAsia" w:ascii="仿宋_GB2312" w:eastAsia="仿宋_GB2312"/>
          <w:color w:val="333333"/>
          <w:sz w:val="32"/>
          <w:szCs w:val="32"/>
          <w:lang w:val="en-US" w:eastAsia="zh-CN"/>
        </w:rPr>
      </w:pPr>
      <w:r>
        <w:rPr>
          <w:rFonts w:hint="eastAsia" w:ascii="仿宋_GB2312" w:eastAsia="仿宋_GB2312"/>
          <w:color w:val="333333"/>
          <w:sz w:val="32"/>
          <w:szCs w:val="32"/>
          <w:lang w:val="en-US" w:eastAsia="zh-CN"/>
        </w:rPr>
        <w:t xml:space="preserve">                                                        内江开放大学</w:t>
      </w:r>
    </w:p>
    <w:p>
      <w:pPr>
        <w:widowControl/>
        <w:adjustRightInd w:val="0"/>
        <w:snapToGrid w:val="0"/>
        <w:spacing w:line="580" w:lineRule="exact"/>
        <w:ind w:firstLine="640" w:firstLineChars="200"/>
        <w:contextualSpacing/>
        <w:jc w:val="left"/>
        <w:rPr>
          <w:rFonts w:hint="eastAsia" w:ascii="黑体" w:hAnsi="黑体" w:eastAsia="黑体"/>
          <w:color w:val="auto"/>
          <w:sz w:val="44"/>
          <w:szCs w:val="44"/>
          <w:highlight w:val="none"/>
        </w:rPr>
      </w:pPr>
      <w:r>
        <w:rPr>
          <w:rFonts w:hint="eastAsia" w:ascii="仿宋_GB2312" w:eastAsia="仿宋_GB2312"/>
          <w:color w:val="333333"/>
          <w:sz w:val="32"/>
          <w:szCs w:val="32"/>
          <w:lang w:val="en-US" w:eastAsia="zh-CN"/>
        </w:rPr>
        <w:t xml:space="preserve">                               2022年8月13日</w:t>
      </w: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EF1491C3"/>
    <w:multiLevelType w:val="singleLevel"/>
    <w:tmpl w:val="EF1491C3"/>
    <w:lvl w:ilvl="0" w:tentative="0">
      <w:start w:val="1"/>
      <w:numFmt w:val="chineseCounting"/>
      <w:suff w:val="nothing"/>
      <w:lvlText w:val="%1、"/>
      <w:lvlJc w:val="left"/>
      <w:rPr>
        <w:rFonts w:hint="eastAsia"/>
      </w:rPr>
    </w:lvl>
  </w:abstractNum>
  <w:abstractNum w:abstractNumId="3">
    <w:nsid w:val="00CE81D2"/>
    <w:multiLevelType w:val="singleLevel"/>
    <w:tmpl w:val="00CE81D2"/>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CA9BF4A"/>
    <w:multiLevelType w:val="singleLevel"/>
    <w:tmpl w:val="6CA9BF4A"/>
    <w:lvl w:ilvl="0" w:tentative="0">
      <w:start w:val="3"/>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zU5NmUwOGM4NDExMWExYzVlYTQ5YzhlZGYzY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231A2"/>
    <w:rsid w:val="077F7391"/>
    <w:rsid w:val="0A2032A3"/>
    <w:rsid w:val="0B8A37D8"/>
    <w:rsid w:val="10C055FF"/>
    <w:rsid w:val="118107EC"/>
    <w:rsid w:val="11DD6519"/>
    <w:rsid w:val="13EA46B5"/>
    <w:rsid w:val="16BB723D"/>
    <w:rsid w:val="18015F3F"/>
    <w:rsid w:val="1BE8440E"/>
    <w:rsid w:val="1D155CEE"/>
    <w:rsid w:val="1D5205EB"/>
    <w:rsid w:val="20F57F95"/>
    <w:rsid w:val="220E51DE"/>
    <w:rsid w:val="240371BF"/>
    <w:rsid w:val="25C741E6"/>
    <w:rsid w:val="266C1E66"/>
    <w:rsid w:val="27772FA0"/>
    <w:rsid w:val="27842671"/>
    <w:rsid w:val="290B4FBE"/>
    <w:rsid w:val="29FD04D3"/>
    <w:rsid w:val="2ABE7A3E"/>
    <w:rsid w:val="2B2F7E5C"/>
    <w:rsid w:val="2EFA178C"/>
    <w:rsid w:val="30B46D73"/>
    <w:rsid w:val="319F7F4E"/>
    <w:rsid w:val="31BD5F70"/>
    <w:rsid w:val="32FB531C"/>
    <w:rsid w:val="398111A2"/>
    <w:rsid w:val="39AE70AB"/>
    <w:rsid w:val="3C0C0783"/>
    <w:rsid w:val="3D0C264D"/>
    <w:rsid w:val="3F9F3A96"/>
    <w:rsid w:val="40D20119"/>
    <w:rsid w:val="44890019"/>
    <w:rsid w:val="457063B4"/>
    <w:rsid w:val="493C27E9"/>
    <w:rsid w:val="494837DC"/>
    <w:rsid w:val="496F39ED"/>
    <w:rsid w:val="49867CF3"/>
    <w:rsid w:val="49FF41D3"/>
    <w:rsid w:val="4BE068DB"/>
    <w:rsid w:val="4BF6002B"/>
    <w:rsid w:val="4ECE2238"/>
    <w:rsid w:val="4EF01A29"/>
    <w:rsid w:val="4F9507D7"/>
    <w:rsid w:val="51DB4B86"/>
    <w:rsid w:val="55333C3E"/>
    <w:rsid w:val="55E640B0"/>
    <w:rsid w:val="57306817"/>
    <w:rsid w:val="57DA2ACB"/>
    <w:rsid w:val="58AE1B3D"/>
    <w:rsid w:val="59A1631E"/>
    <w:rsid w:val="59A93BAB"/>
    <w:rsid w:val="5C530574"/>
    <w:rsid w:val="5F244677"/>
    <w:rsid w:val="64CA39A1"/>
    <w:rsid w:val="65A62A62"/>
    <w:rsid w:val="6C1828EC"/>
    <w:rsid w:val="6C4A05C8"/>
    <w:rsid w:val="6F0D7767"/>
    <w:rsid w:val="72734D90"/>
    <w:rsid w:val="72E767F0"/>
    <w:rsid w:val="73AA6208"/>
    <w:rsid w:val="762742E2"/>
    <w:rsid w:val="79E7B28D"/>
    <w:rsid w:val="7F005A9F"/>
    <w:rsid w:val="7F976E89"/>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52" w:firstLineChars="200"/>
      <w:jc w:val="left"/>
    </w:pPr>
    <w:rPr>
      <w:rFonts w:eastAsia="仿宋_GB2312"/>
      <w:sz w:val="32"/>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图1：收入决算总计变动情况图</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（单位：万元）</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201491771159875"/>
          <c:y val="0.00883912787271656"/>
        </c:manualLayout>
      </c:layout>
      <c:overlay val="0"/>
      <c:spPr>
        <a:noFill/>
        <a:ln>
          <a:noFill/>
        </a:ln>
        <a:effectLst/>
      </c:spPr>
    </c:title>
    <c:autoTitleDeleted val="0"/>
    <c:plotArea>
      <c:layout>
        <c:manualLayout>
          <c:layoutTarget val="inner"/>
          <c:xMode val="edge"/>
          <c:yMode val="edge"/>
          <c:x val="0.0758539458186106"/>
          <c:y val="0.329583460018243"/>
          <c:w val="0.888810365135453"/>
          <c:h val="0.480510793554272"/>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876.83</c:v>
                </c:pt>
                <c:pt idx="1">
                  <c:v>956.27</c:v>
                </c:pt>
              </c:numCache>
            </c:numRef>
          </c:val>
        </c:ser>
        <c:dLbls>
          <c:showLegendKey val="0"/>
          <c:showVal val="1"/>
          <c:showCatName val="0"/>
          <c:showSerName val="0"/>
          <c:showPercent val="0"/>
          <c:showBubbleSize val="0"/>
        </c:dLbls>
        <c:gapWidth val="267"/>
        <c:overlap val="-43"/>
        <c:axId val="993468257"/>
        <c:axId val="512487043"/>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93468257"/>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512487043"/>
        <c:crosses val="autoZero"/>
        <c:auto val="1"/>
        <c:lblAlgn val="ctr"/>
        <c:lblOffset val="100"/>
        <c:noMultiLvlLbl val="0"/>
      </c:catAx>
      <c:valAx>
        <c:axId val="51248704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3468257"/>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图2：支出决算总计变动情况图</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（单位：万元）</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244572798987145"/>
          <c:y val="0.010478519035976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Sheet1!$A$2:$A$3</c:f>
              <c:strCache>
                <c:ptCount val="2"/>
                <c:pt idx="0">
                  <c:v>2020年</c:v>
                </c:pt>
                <c:pt idx="1">
                  <c:v>2020年</c:v>
                </c:pt>
              </c:strCache>
            </c:strRef>
          </c:cat>
          <c:val>
            <c:numRef>
              <c:f>Sheet1!$B$2:$B$3</c:f>
              <c:numCache>
                <c:formatCode>General</c:formatCode>
                <c:ptCount val="2"/>
                <c:pt idx="0">
                  <c:v>876.83</c:v>
                </c:pt>
                <c:pt idx="1">
                  <c:v>956.27</c:v>
                </c:pt>
              </c:numCache>
            </c:numRef>
          </c:val>
        </c:ser>
        <c:dLbls>
          <c:showLegendKey val="0"/>
          <c:showVal val="1"/>
          <c:showCatName val="0"/>
          <c:showSerName val="0"/>
          <c:showPercent val="0"/>
          <c:showBubbleSize val="0"/>
        </c:dLbls>
        <c:gapWidth val="267"/>
        <c:overlap val="-43"/>
        <c:axId val="522944467"/>
        <c:axId val="997631687"/>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2020年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2020年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22944467"/>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997631687"/>
        <c:crosses val="autoZero"/>
        <c:auto val="1"/>
        <c:lblAlgn val="ctr"/>
        <c:lblOffset val="100"/>
        <c:noMultiLvlLbl val="0"/>
      </c:catAx>
      <c:valAx>
        <c:axId val="99763168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522944467"/>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a:t>
            </a:r>
            <a:r>
              <a:rPr lang="en-US" altLang="zh-CN"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3</a:t>
            </a:r>
            <a:r>
              <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：收入决算结构图（单位：万元）</a:t>
            </a:r>
            <a:endPar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198625"/>
          <c:y val="0.0249376558603491"/>
        </c:manualLayout>
      </c:layout>
      <c:overlay val="0"/>
      <c:spPr>
        <a:noFill/>
        <a:ln>
          <a:noFill/>
        </a:ln>
        <a:effectLst/>
      </c:spPr>
    </c:title>
    <c:autoTitleDeleted val="0"/>
    <c:plotArea>
      <c:layout>
        <c:manualLayout>
          <c:layoutTarget val="inner"/>
          <c:xMode val="edge"/>
          <c:yMode val="edge"/>
          <c:x val="0.38593"/>
          <c:y val="0.260713489409142"/>
          <c:w val="0.22814"/>
          <c:h val="0.508673355629877"/>
        </c:manualLayout>
      </c:layout>
      <c:pieChart>
        <c:varyColors val="1"/>
        <c:ser>
          <c:idx val="0"/>
          <c:order val="0"/>
          <c:tx>
            <c:strRef>
              <c:f>Sheet1!$B$1</c:f>
              <c:strCache>
                <c:ptCount val="1"/>
                <c:pt idx="0">
                  <c:v>图2：收入决算结构图（单位：万元）</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7225"/>
                  <c:y val="-0.2366834088591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598.56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475"/>
                  <c:y val="0.023922912896132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356.51</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1075"/>
                  <c:y val="0.013923524522028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1.20</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598.56</c:v>
                </c:pt>
                <c:pt idx="1">
                  <c:v>356.51</c:v>
                </c:pt>
                <c:pt idx="2">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图4：支出决算结构图（单位：万元）</a:t>
            </a:r>
            <a:endPar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19325"/>
          <c:y val="0.0397744137726328"/>
        </c:manualLayout>
      </c:layout>
      <c:overlay val="0"/>
      <c:spPr>
        <a:noFill/>
        <a:ln>
          <a:noFill/>
        </a:ln>
        <a:effectLst/>
      </c:spPr>
    </c:title>
    <c:autoTitleDeleted val="0"/>
    <c:plotArea>
      <c:layout/>
      <c:pieChart>
        <c:varyColors val="1"/>
        <c:ser>
          <c:idx val="0"/>
          <c:order val="0"/>
          <c:tx>
            <c:strRef>
              <c:f>Sheet1!$B$1</c:f>
              <c:strCache>
                <c:ptCount val="1"/>
                <c:pt idx="0">
                  <c:v>图3：支出决算结构图（单位：万元）</c:v>
                </c:pt>
              </c:strCache>
            </c:strRef>
          </c:tx>
          <c:spPr/>
          <c:explosion val="0"/>
          <c:dPt>
            <c:idx val="0"/>
            <c:bubble3D val="0"/>
            <c:spPr>
              <a:solidFill>
                <a:schemeClr val="accent1"/>
              </a:solidFill>
              <a:ln w="19050">
                <a:solidFill>
                  <a:schemeClr val="lt1"/>
                </a:solidFill>
              </a:ln>
              <a:effectLst/>
            </c:spPr>
          </c:dPt>
          <c:dLbls>
            <c:dLbl>
              <c:idx val="0"/>
              <c:layout>
                <c:manualLayout>
                  <c:x val="0.169877048057519"/>
                  <c:y val="-0.09878893637588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956.27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956.27</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图5：财政拨款收入决算总计变动情况</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（单位：万元）</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187515574383254"/>
          <c:y val="0.036177474402730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2020年</c:v>
                </c:pt>
                <c:pt idx="1">
                  <c:v>2020年</c:v>
                </c:pt>
              </c:strCache>
            </c:strRef>
          </c:cat>
          <c:val>
            <c:numRef>
              <c:f>Sheet1!$B$2:$B$3</c:f>
              <c:numCache>
                <c:formatCode>General</c:formatCode>
                <c:ptCount val="2"/>
                <c:pt idx="0">
                  <c:v>521.98</c:v>
                </c:pt>
                <c:pt idx="1">
                  <c:v>598.56</c:v>
                </c:pt>
              </c:numCache>
            </c:numRef>
          </c:val>
        </c:ser>
        <c:dLbls>
          <c:showLegendKey val="0"/>
          <c:showVal val="0"/>
          <c:showCatName val="0"/>
          <c:showSerName val="0"/>
          <c:showPercent val="0"/>
          <c:showBubbleSize val="0"/>
        </c:dLbls>
        <c:gapWidth val="267"/>
        <c:overlap val="-43"/>
        <c:axId val="156950128"/>
        <c:axId val="640421183"/>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2020年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2020年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56950128"/>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640421183"/>
        <c:crosses val="autoZero"/>
        <c:auto val="1"/>
        <c:lblAlgn val="ctr"/>
        <c:lblOffset val="100"/>
        <c:noMultiLvlLbl val="0"/>
      </c:catAx>
      <c:valAx>
        <c:axId val="64042118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5695012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图6：财政拨款支出决算总计变动情况</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（单位：万元）</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180739275559402"/>
          <c:y val="0.046696756781168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521.98</c:v>
                </c:pt>
                <c:pt idx="1">
                  <c:v>598.56</c:v>
                </c:pt>
              </c:numCache>
            </c:numRef>
          </c:val>
        </c:ser>
        <c:dLbls>
          <c:showLegendKey val="0"/>
          <c:showVal val="1"/>
          <c:showCatName val="0"/>
          <c:showSerName val="0"/>
          <c:showPercent val="0"/>
          <c:showBubbleSize val="0"/>
        </c:dLbls>
        <c:gapWidth val="267"/>
        <c:overlap val="-43"/>
        <c:axId val="622542878"/>
        <c:axId val="239542108"/>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22542878"/>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239542108"/>
        <c:crosses val="autoZero"/>
        <c:auto val="1"/>
        <c:lblAlgn val="ctr"/>
        <c:lblOffset val="100"/>
        <c:noMultiLvlLbl val="0"/>
      </c:catAx>
      <c:valAx>
        <c:axId val="2395421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62254287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图7：一般公共预算财政拨款支出决算变动情况（单位：万元）</a:t>
            </a:r>
            <a:endParaRPr>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Lbl>
              <c:idx val="0"/>
              <c:layout>
                <c:manualLayout>
                  <c:x val="0"/>
                  <c:y val="-0.12967359050445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9376854599407"/>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521.98</c:v>
                </c:pt>
                <c:pt idx="1">
                  <c:v>598.56</c:v>
                </c:pt>
              </c:numCache>
            </c:numRef>
          </c:val>
        </c:ser>
        <c:dLbls>
          <c:showLegendKey val="0"/>
          <c:showVal val="1"/>
          <c:showCatName val="0"/>
          <c:showSerName val="0"/>
          <c:showPercent val="0"/>
          <c:showBubbleSize val="0"/>
        </c:dLbls>
        <c:gapWidth val="267"/>
        <c:overlap val="-43"/>
        <c:axId val="185362746"/>
        <c:axId val="121792741"/>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85362746"/>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121792741"/>
        <c:crosses val="autoZero"/>
        <c:auto val="1"/>
        <c:lblAlgn val="ctr"/>
        <c:lblOffset val="100"/>
        <c:noMultiLvlLbl val="0"/>
      </c:catAx>
      <c:valAx>
        <c:axId val="12179274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8536274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图</a:t>
            </a:r>
            <a:r>
              <a:rPr lang="en-US" altLang="zh-CN"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8</a:t>
            </a:r>
            <a:r>
              <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：一般公共预算财政拨款支出决算结构</a:t>
            </a:r>
            <a:endPar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rPr>
              <a:t>（单位：万元）</a:t>
            </a:r>
            <a:endParaRPr sz="1600" b="1">
              <a:solidFill>
                <a:sysClr val="windowText" lastClr="000000"/>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15025"/>
          <c:y val="0.00617919670442842"/>
        </c:manualLayout>
      </c:layout>
      <c:overlay val="0"/>
      <c:spPr>
        <a:noFill/>
        <a:ln>
          <a:noFill/>
        </a:ln>
        <a:effectLst/>
      </c:spPr>
    </c:title>
    <c:autoTitleDeleted val="0"/>
    <c:plotArea>
      <c:layout/>
      <c:pieChart>
        <c:varyColors val="1"/>
        <c:ser>
          <c:idx val="0"/>
          <c:order val="0"/>
          <c:tx>
            <c:strRef>
              <c:f>Sheet1!$B$1</c:f>
              <c:strCache>
                <c:ptCount val="1"/>
                <c:pt idx="0">
                  <c:v>图6：一般公共预算财政拨款支出决算结构（单位：万元）</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73192032996286"/>
                  <c:y val="-0.1171466390040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462.15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8375"/>
                      <c:h val="0.134001823154057"/>
                    </c:manualLayout>
                  </c15:layout>
                </c:ext>
              </c:extLst>
            </c:dLbl>
            <c:dLbl>
              <c:idx val="1"/>
              <c:layout>
                <c:manualLayout>
                  <c:x val="-0.133990584024346"/>
                  <c:y val="-0.001611433907984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73.79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154375"/>
                      <c:h val="0.138381201044386"/>
                    </c:manualLayout>
                  </c15:layout>
                </c:ext>
              </c:extLst>
            </c:dLbl>
            <c:dLbl>
              <c:idx val="2"/>
              <c:layout/>
              <c:dLblPos val="inEnd"/>
              <c:showLegendKey val="0"/>
              <c:showVal val="1"/>
              <c:showCatName val="0"/>
              <c:showSerName val="0"/>
              <c:showPercent val="0"/>
              <c:showBubbleSize val="0"/>
              <c:extLst>
                <c:ext xmlns:c15="http://schemas.microsoft.com/office/drawing/2012/chart" uri="{CE6537A1-D6FC-4f65-9D91-7224C49458BB}">
                  <c15:layout>
                    <c:manualLayout>
                      <c:w val="0.126375"/>
                      <c:h val="0.144647519582245"/>
                    </c:manualLayout>
                  </c15:layout>
                </c:ext>
              </c:extLst>
            </c:dLbl>
            <c:dLbl>
              <c:idx val="3"/>
              <c:layout>
                <c:manualLayout>
                  <c:x val="0.02194418047336"/>
                  <c:y val="0.12917314175731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33.66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53125"/>
                      <c:h val="0.133090246125798"/>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462.15</c:v>
                </c:pt>
                <c:pt idx="1">
                  <c:v>73.79</c:v>
                </c:pt>
                <c:pt idx="2">
                  <c:v>28.96</c:v>
                </c:pt>
                <c:pt idx="3">
                  <c:v>33.66</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r"/>
      <c:layout>
        <c:manualLayout>
          <c:xMode val="edge"/>
          <c:yMode val="edge"/>
          <c:x val="0.736375"/>
          <c:y val="0.4528193325661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j-ea"/>
                <a:ea typeface="+mj-ea"/>
                <a:cs typeface="+mj-ea"/>
                <a:sym typeface="+mj-ea"/>
              </a:defRPr>
            </a:pPr>
            <a:r>
              <a:rPr sz="1800" b="1">
                <a:solidFill>
                  <a:schemeClr val="tx1">
                    <a:lumMod val="65000"/>
                    <a:lumOff val="35000"/>
                  </a:schemeClr>
                </a:solidFill>
                <a:uFillTx/>
                <a:latin typeface="+mj-ea"/>
                <a:ea typeface="+mj-ea"/>
                <a:cs typeface="+mj-ea"/>
                <a:sym typeface="+mj-ea"/>
              </a:rPr>
              <a:t>图</a:t>
            </a:r>
            <a:r>
              <a:rPr lang="en-US" altLang="zh-CN" sz="1800" b="1">
                <a:solidFill>
                  <a:schemeClr val="tx1">
                    <a:lumMod val="65000"/>
                    <a:lumOff val="35000"/>
                  </a:schemeClr>
                </a:solidFill>
                <a:uFillTx/>
                <a:latin typeface="+mj-ea"/>
                <a:ea typeface="+mj-ea"/>
                <a:cs typeface="+mj-ea"/>
                <a:sym typeface="+mj-ea"/>
              </a:rPr>
              <a:t>9</a:t>
            </a:r>
            <a:r>
              <a:rPr sz="1800" b="1">
                <a:solidFill>
                  <a:schemeClr val="tx1">
                    <a:lumMod val="65000"/>
                    <a:lumOff val="35000"/>
                  </a:schemeClr>
                </a:solidFill>
                <a:uFillTx/>
                <a:latin typeface="+mj-ea"/>
                <a:ea typeface="+mj-ea"/>
                <a:cs typeface="+mj-ea"/>
                <a:sym typeface="+mj-ea"/>
              </a:rPr>
              <a:t>：“三公”经费财政拨款支出结构  </a:t>
            </a:r>
            <a:endParaRPr sz="1800" b="1">
              <a:solidFill>
                <a:schemeClr val="tx1">
                  <a:lumMod val="65000"/>
                  <a:lumOff val="35000"/>
                </a:schemeClr>
              </a:solidFill>
              <a:uFillTx/>
              <a:latin typeface="+mj-ea"/>
              <a:ea typeface="+mj-ea"/>
              <a:cs typeface="+mj-ea"/>
              <a:sym typeface="+mj-ea"/>
            </a:endParaRPr>
          </a:p>
          <a:p>
            <a:pPr defTabSz="914400">
              <a:defRPr lang="zh-CN" sz="1400" b="0" i="0" u="none" strike="noStrike" kern="1200" spc="0" baseline="0">
                <a:solidFill>
                  <a:schemeClr val="tx1">
                    <a:lumMod val="65000"/>
                    <a:lumOff val="35000"/>
                  </a:schemeClr>
                </a:solidFill>
                <a:latin typeface="+mj-ea"/>
                <a:ea typeface="+mj-ea"/>
                <a:cs typeface="+mj-ea"/>
                <a:sym typeface="+mj-ea"/>
              </a:defRPr>
            </a:pPr>
            <a:r>
              <a:rPr sz="1800" b="1">
                <a:solidFill>
                  <a:schemeClr val="tx1">
                    <a:lumMod val="65000"/>
                    <a:lumOff val="35000"/>
                  </a:schemeClr>
                </a:solidFill>
                <a:uFillTx/>
                <a:latin typeface="+mj-ea"/>
                <a:ea typeface="+mj-ea"/>
                <a:cs typeface="+mj-ea"/>
                <a:sym typeface="+mj-ea"/>
              </a:rPr>
              <a:t>  （单位：</a:t>
            </a:r>
            <a:r>
              <a:rPr sz="1800" b="1">
                <a:solidFill>
                  <a:schemeClr val="tx1">
                    <a:lumMod val="65000"/>
                    <a:lumOff val="35000"/>
                  </a:schemeClr>
                </a:solidFill>
                <a:uFillTx/>
                <a:latin typeface="方正小标宋简体" panose="03000509000000000000" pitchFamily="4" charset="-122"/>
                <a:ea typeface="方正小标宋简体" panose="03000509000000000000" pitchFamily="4" charset="-122"/>
                <a:cs typeface="+mj-ea"/>
                <a:sym typeface="+mj-ea"/>
              </a:rPr>
              <a:t>万元</a:t>
            </a:r>
            <a:r>
              <a:rPr sz="1800" b="1">
                <a:solidFill>
                  <a:schemeClr val="tx1">
                    <a:lumMod val="65000"/>
                    <a:lumOff val="35000"/>
                  </a:schemeClr>
                </a:solidFill>
                <a:uFillTx/>
                <a:latin typeface="+mj-ea"/>
                <a:ea typeface="+mj-ea"/>
                <a:cs typeface="+mj-ea"/>
                <a:sym typeface="+mj-ea"/>
              </a:rPr>
              <a:t>）</a:t>
            </a:r>
            <a:endParaRPr sz="1800" b="1">
              <a:solidFill>
                <a:schemeClr val="tx1">
                  <a:lumMod val="65000"/>
                  <a:lumOff val="35000"/>
                </a:schemeClr>
              </a:solidFill>
              <a:uFillTx/>
              <a:latin typeface="+mj-ea"/>
              <a:ea typeface="+mj-ea"/>
              <a:cs typeface="+mj-ea"/>
              <a:sym typeface="+mj-ea"/>
            </a:endParaRP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 （单位：万元）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c:v>
                </c:pt>
              </c:strCache>
            </c:strRef>
          </c:cat>
          <c:val>
            <c:numRef>
              <c:f>Sheet1!$B$2:$B$3</c:f>
              <c:numCache>
                <c:formatCode>General</c:formatCode>
                <c:ptCount val="2"/>
                <c:pt idx="0">
                  <c:v>3</c:v>
                </c:pt>
                <c:pt idx="1">
                  <c:v>2.72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6941</Words>
  <Characters>7561</Characters>
  <Lines>61</Lines>
  <Paragraphs>17</Paragraphs>
  <TotalTime>14</TotalTime>
  <ScaleCrop>false</ScaleCrop>
  <LinksUpToDate>false</LinksUpToDate>
  <CharactersWithSpaces>7865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2022-10-21T08:47:36Z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5C341E02845B411885EC53EED9C27BD1</vt:lpwstr>
  </property>
</Properties>
</file>